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541"/>
                <wp:lineTo x="20528" y="20541"/>
                <wp:lineTo x="20528" y="0"/>
                <wp:lineTo x="-317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ЭКОНОМИЧЕСКОГО РАЗВИТИЯ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0" w:left="1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2" w:name="REGNUMDATESTAMP"/>
            <w:bookmarkEnd w:id="2"/>
            <w:r>
              <w:rPr>
                <w:rFonts w:ascii="Times New Roman" w:hAnsi="Times New Roman"/>
                <w:color w:val="000000"/>
                <w:sz w:val="24"/>
              </w:rPr>
              <w:t xml:space="preserve"> №</w:t>
            </w:r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приложение к приказу Министерства экономического развития Камчатского края от 19.03.2024 № 6-Н «Об утверждении Методических указаний по разработке, реализации и мониторингу государственных программ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Внести 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приложение к приказу Министерства экономического развития Камчатского края от 19.03.2024 № 6-Н «Об утверждении Методических указаний по разработке, реализации и мониторингу государственных программ Камчатского края»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изменения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</w:t>
      </w:r>
      <w:r>
        <w:rPr>
          <w:rFonts w:cs="Times New Roman" w:ascii="Times New Roman" w:hAnsi="Times New Roman"/>
          <w:bCs/>
          <w:sz w:val="28"/>
          <w:szCs w:val="28"/>
        </w:rPr>
        <w:t>огласно приложению к настоящему приказу.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963"/>
        <w:gridCol w:w="4406"/>
        <w:gridCol w:w="2270"/>
      </w:tblGrid>
      <w:tr>
        <w:trPr>
          <w:trHeight w:val="2220" w:hRule="atLeast"/>
        </w:trPr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3"/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Гончаров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spacing w:lineRule="auto" w:line="240" w:before="0" w:after="0"/>
        <w:ind w:hanging="0" w:left="5103" w:right="-2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экономического развития Камчатского края</w:t>
      </w:r>
    </w:p>
    <w:tbl>
      <w:tblPr>
        <w:tblStyle w:val="a3"/>
        <w:tblW w:w="4470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9"/>
        <w:gridCol w:w="1713"/>
        <w:gridCol w:w="487"/>
        <w:gridCol w:w="1700"/>
      </w:tblGrid>
      <w:tr>
        <w:trPr/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28"/>
                <w:szCs w:val="28"/>
                <w:lang w:val="ru-RU" w:eastAsia="en-US" w:bidi="ar-SA"/>
              </w:rPr>
              <w:t>[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28"/>
                <w:szCs w:val="28"/>
                <w:lang w:val="en-US" w:eastAsia="en-US" w:bidi="ar-SA"/>
              </w:rPr>
              <w:t>R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16"/>
                <w:szCs w:val="28"/>
                <w:lang w:val="en-US" w:eastAsia="en-US" w:bidi="ar-SA"/>
              </w:rPr>
              <w:t>EGDATESTAMP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16"/>
                <w:szCs w:val="28"/>
                <w:lang w:val="ru-RU" w:eastAsia="en-US" w:bidi="ar-SA"/>
              </w:rPr>
              <w:t>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28"/>
                <w:szCs w:val="28"/>
                <w:lang w:val="ru-RU" w:eastAsia="en-US" w:bidi="ar-SA"/>
              </w:rPr>
              <w:t>[R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16"/>
                <w:szCs w:val="28"/>
                <w:lang w:val="ru-RU" w:eastAsia="en-US" w:bidi="ar-SA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751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Изменения 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приложение к приказу Министерства экономического развития Камчатского края от 19.03.2024 № 6-Н «Об утверждении Методических указаний по разработке, реализации и мониторингу государственных программ 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Камчатского края»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lang w:eastAsia="ru-RU"/>
        </w:rPr>
        <w:t>1. Часть 4 изложить в следующей редакции: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lang w:eastAsia="ru-RU"/>
        </w:rPr>
        <w:tab/>
        <w:t xml:space="preserve">«4. Формирование, представление, согласование и утверждение </w:t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shd w:fill="auto" w:val="clear"/>
          <w:lang w:eastAsia="ru-RU"/>
        </w:rPr>
        <w:t xml:space="preserve">документов и информации, в том числе паспортов государственных программ </w:t>
      </w:r>
      <w:r>
        <w:rPr>
          <w:rFonts w:eastAsia="Times New Roman" w:cs="" w:ascii="Times New Roman" w:hAnsi="Times New Roman" w:cstheme="minorBidi"/>
          <w:strike w:val="false"/>
          <w:dstrike w:val="false"/>
          <w:sz w:val="28"/>
          <w:szCs w:val="28"/>
          <w:shd w:fill="auto" w:val="clear"/>
          <w:lang w:eastAsia="ru-RU"/>
        </w:rPr>
        <w:t>(комплексных программ)</w:t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shd w:fill="auto" w:val="clear"/>
          <w:lang w:eastAsia="ru-RU"/>
        </w:rPr>
        <w:t xml:space="preserve">, паспортов структурных элементов государственных программ </w:t>
      </w:r>
      <w:r>
        <w:rPr>
          <w:rFonts w:eastAsia="Times New Roman" w:cs="" w:ascii="Times New Roman" w:hAnsi="Times New Roman" w:cstheme="minorBidi"/>
          <w:strike w:val="false"/>
          <w:dstrike w:val="false"/>
          <w:sz w:val="28"/>
          <w:szCs w:val="28"/>
          <w:shd w:fill="auto" w:val="clear"/>
          <w:lang w:eastAsia="ru-RU"/>
        </w:rPr>
        <w:t>(комплексных программ)</w:t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shd w:fill="auto" w:val="clear"/>
          <w:lang w:eastAsia="ru-RU"/>
        </w:rPr>
        <w:t xml:space="preserve">, </w:t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lang w:eastAsia="ru-RU"/>
        </w:rPr>
        <w:t xml:space="preserve">отчетов о ходе реализации государственных программ (комплексных программ) и их структурных элементов осуществляется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«Электронный бюджет» (далее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соответственно – подсистема управления государственными программами, </w:t>
      </w:r>
      <w:r>
        <w:rPr>
          <w:rFonts w:eastAsia="Times New Roman" w:cs="Times New Roman" w:ascii="Times New Roman" w:hAnsi="Times New Roman"/>
          <w:strike w:val="false"/>
          <w:dstrike w:val="false"/>
          <w:sz w:val="28"/>
          <w:szCs w:val="28"/>
          <w:lang w:eastAsia="ru-RU"/>
        </w:rPr>
        <w:t>система «Электронный бюджет») по единым формам в виде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ответственного исполнителя (соисполнителя, участника) государственной программы (комплексной программы).</w:t>
      </w:r>
      <w:r>
        <w:rPr>
          <w:rFonts w:eastAsia="Times New Roman" w:cs="Times New Roman" w:ascii="Times New Roman" w:hAnsi="Times New Roman"/>
          <w:strike w:val="false"/>
          <w:dstrike w:val="false"/>
          <w:sz w:val="28"/>
          <w:szCs w:val="28"/>
          <w:shd w:fill="auto" w:val="clear"/>
          <w:lang w:eastAsia="ru-RU"/>
        </w:rPr>
        <w:t>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shd w:fill="auto" w:val="clear"/>
          <w:lang w:eastAsia="ru-RU"/>
        </w:rPr>
        <w:tab/>
        <w:t xml:space="preserve">2. </w:t>
      </w:r>
      <w:r>
        <w:rPr>
          <w:rFonts w:eastAsia="Times New Roman" w:cs="Times New Roman" w:ascii="Times New Roman" w:hAnsi="Times New Roman"/>
          <w:strike w:val="false"/>
          <w:dstrike w:val="false"/>
          <w:sz w:val="28"/>
          <w:szCs w:val="28"/>
          <w:shd w:fill="auto" w:val="clear"/>
          <w:lang w:eastAsia="ru-RU"/>
        </w:rPr>
        <w:t>В части 5: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trike w:val="false"/>
          <w:dstrike w:val="false"/>
          <w:sz w:val="28"/>
          <w:szCs w:val="28"/>
          <w:shd w:fill="auto" w:val="clear"/>
          <w:lang w:eastAsia="ru-RU"/>
        </w:rPr>
        <w:tab/>
        <w:t>1) абзацы 2–4 исключить;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trike w:val="false"/>
          <w:dstrike w:val="false"/>
          <w:sz w:val="28"/>
          <w:szCs w:val="28"/>
          <w:shd w:fill="auto" w:val="clear"/>
          <w:lang w:eastAsia="ru-RU"/>
        </w:rPr>
        <w:tab/>
        <w:t>2) в пункте 1 слова «</w:t>
      </w:r>
      <w:r>
        <w:rPr>
          <w:rFonts w:eastAsia="Times New Roman" w:cs="" w:ascii="Times New Roman" w:hAnsi="Times New Roman" w:cstheme="minorBidi"/>
          <w:strike w:val="false"/>
          <w:dstrike w:val="false"/>
          <w:sz w:val="28"/>
          <w:szCs w:val="28"/>
          <w:shd w:fill="auto" w:val="clear"/>
          <w:lang w:eastAsia="ru-RU"/>
        </w:rPr>
        <w:t>Указом Президента Российской Федерации от 21.07.2020 № 474 «О национальных целях развития Российской Федерации на период до 2030 года» заменить словами «Указом Президента Российской Федерации от 07.05.2024 № 309 «О национальных целях развития Российской Федерации на период до 2030 года и на перспективу до 2036 года».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sz w:val="28"/>
          <w:szCs w:val="28"/>
          <w:shd w:fill="auto" w:val="clear"/>
          <w:lang w:eastAsia="ru-RU"/>
        </w:rPr>
        <w:tab/>
        <w:t>3. В части 6 цифру «11» заменить цифрой «12».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sz w:val="28"/>
          <w:szCs w:val="28"/>
          <w:shd w:fill="auto" w:val="clear"/>
          <w:lang w:eastAsia="ru-RU"/>
        </w:rPr>
        <w:tab/>
        <w:t>4. В абзаце 3 пункта 2 части 21 слова «государственной (муниципальной) программы» заменить словами «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>государственной программы (комплексной программы)».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5. Часть 28 изложить в следующей редакции: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 xml:space="preserve">«28. </w:t>
      </w: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Паспорта структурных элементов государственной программы (комплексной программы) разрабатываются по единым формам в виде электронных документов в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>подсистеме управления государственными программами,</w:t>
      </w: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за исключением региональных проектов, направленных на достижение целей, показателей и решение задач национальных проектов.».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6. Подпункт «в» пункта 2 части 29 изложить в следующей редакции: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«в) наименование государственной программы (комплексной программы).».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7. Абзац первый части 32 изложить в следующей редакции: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 xml:space="preserve">«32. </w:t>
      </w: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В разделе «Мероприятия (результаты)» паспортов структурных элементов приводятся задачи, а также необходимые для их решения мероприятия (результаты). По мероприятию (результату) приводится его наименование, тип, характеристика (при необходимости), единица измерения по общероссийскому классификатору единиц измерения (далее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–</w:t>
      </w: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ОКЕИ), базовое значение и значения по годам реализации. При формировании комплекса процессных мероприятий допускается включение мероприятий (результатов), не имеющих количественно измеримых итогов их реализации.».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8. В пункте 1 части 46 слово «подпрограммы» заменить словами «государственной программы (комплексной программы) и (или) ее структурных элементов».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9. Абзац 2 части 53 изложить в следующей редакции: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«Расчет показателя по методике осуществляется при отсутствии возможности получить данные на основе государственных статистических наблюдений.».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10. В части 58: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1) в абзаце первом слово «очередной» заменить словом «новой»;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2) абзац второй и третий изложить в следующей редакции: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 xml:space="preserve">«Версия формируется ответственным исполнителем или соисполнителем государственной программы (комплексной программы) в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>подсистеме управления государственными программами.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Соисполнители и участники государственной программы (комплексной программы) самостоятельно формируют, обеспечивают согласование и утверждение структурных элементов, отдельных параметров структурных элементов, ответственными исполнителями которых они являются.».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11. Абзац первый части 59 изложить в следующей редакции: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«59. Согласование Версии осуществляется:».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12. В части 60: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1) слово «Проект» заменить словом «Версия»;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2) слова «в части 45» заменить словами «частями 45 и 45</w:t>
      </w: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vertAlign w:val="superscript"/>
          <w:lang w:val="ru-RU" w:eastAsia="ru-RU" w:bidi="ar-SA"/>
        </w:rPr>
        <w:t>1</w:t>
      </w: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13. В части 61 слова «соответствующего проекта» заменить словами «соответствующей Версии».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14. В части 62 слово «Проекта» заменить словом «Версии».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15. В части 63 слова «частями 65 и 66» заменить словами «частями 65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–66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8"/>
          <w:shd w:fill="auto" w:val="clear"/>
          <w:vertAlign w:val="superscript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16. Раздел 11 признать утратившим силу.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 xml:space="preserve">17.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Приложения 5 и 6 к Методическим указаниям по разработке, реализации и мониторингу государственных программ Камчатского края </w:t>
      </w:r>
      <w:r>
        <w:rPr>
          <w:rFonts w:eastAsia="Times New Roman" w:cs="" w:ascii="Times New Roman" w:hAnsi="Times New Roman" w:cstheme="minorBidi"/>
          <w:strike w:val="false"/>
          <w:dstrike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признать утратившими силу.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20310447"/>
    </w:sdtPr>
    <w:sdtContent>
      <w:p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3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Hyperlink">
    <w:name w:val="Hyperlink"/>
    <w:basedOn w:val="DefaultParagraphFont"/>
    <w:uiPriority w:val="99"/>
    <w:unhideWhenUsed/>
    <w:rsid w:val="00681bfe"/>
    <w:rPr>
      <w:color w:themeColor="hyperlink" w:val="0563C1"/>
      <w:u w:val="single"/>
    </w:rPr>
  </w:style>
  <w:style w:type="character" w:styleId="1687">
    <w:name w:val="1687"/>
    <w:basedOn w:val="DefaultParagraphFont"/>
    <w:qFormat/>
    <w:rPr/>
  </w:style>
  <w:style w:type="character" w:styleId="1701">
    <w:name w:val="1701"/>
    <w:basedOn w:val="DefaultParagraphFont"/>
    <w:qFormat/>
    <w:rPr/>
  </w:style>
  <w:style w:type="character" w:styleId="1770">
    <w:name w:val="1770"/>
    <w:basedOn w:val="DefaultParagraphFont"/>
    <w:qFormat/>
    <w:rPr/>
  </w:style>
  <w:style w:type="character" w:styleId="1635">
    <w:name w:val="1635"/>
    <w:basedOn w:val="DefaultParagraphFont"/>
    <w:qFormat/>
    <w:rPr/>
  </w:style>
  <w:style w:type="character" w:styleId="1849">
    <w:name w:val="1849"/>
    <w:basedOn w:val="DefaultParagraphFont"/>
    <w:qFormat/>
    <w:rPr/>
  </w:style>
  <w:style w:type="character" w:styleId="1857">
    <w:name w:val="1857"/>
    <w:basedOn w:val="DefaultParagraphFont"/>
    <w:qFormat/>
    <w:rPr/>
  </w:style>
  <w:style w:type="character" w:styleId="1554">
    <w:name w:val="1554"/>
    <w:basedOn w:val="DefaultParagraphFont"/>
    <w:qFormat/>
    <w:rPr/>
  </w:style>
  <w:style w:type="character" w:styleId="1739">
    <w:name w:val="1739"/>
    <w:basedOn w:val="DefaultParagraphFont"/>
    <w:qFormat/>
    <w:rPr/>
  </w:style>
  <w:style w:type="character" w:styleId="1656">
    <w:name w:val="1656"/>
    <w:basedOn w:val="DefaultParagraphFont"/>
    <w:qFormat/>
    <w:rPr/>
  </w:style>
  <w:style w:type="character" w:styleId="1666">
    <w:name w:val="1666"/>
    <w:basedOn w:val="DefaultParagraphFont"/>
    <w:qFormat/>
    <w:rPr/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0">
    <w:name w:val="Колонтитул"/>
    <w:basedOn w:val="Normal"/>
    <w:qFormat/>
    <w:pPr/>
    <w:rPr/>
  </w:style>
  <w:style w:type="paragraph" w:styleId="Footer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160"/>
      <w:ind w:hanging="0" w:left="720"/>
      <w:contextualSpacing/>
    </w:pPr>
    <w:rPr/>
  </w:style>
  <w:style w:type="paragraph" w:styleId="Docdata">
    <w:name w:val="docdata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Normal"/>
    <w:qFormat/>
    <w:pPr>
      <w:widowControl w:val="false"/>
      <w:suppressLineNumbers/>
      <w:suppressAutoHyphens w:val="true"/>
      <w:spacing w:lineRule="auto" w:line="240" w:before="0" w:after="0"/>
      <w:jc w:val="center"/>
    </w:pPr>
    <w:rPr>
      <w:rFonts w:ascii="Tempora LGC Uni" w:hAnsi="Tempora LGC Uni" w:eastAsia="Tahoma" w:cs="Lohit Devanagari"/>
      <w:b/>
      <w:bCs/>
      <w:kern w:val="2"/>
      <w:sz w:val="24"/>
      <w:szCs w:val="24"/>
      <w:lang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8930-C1D6-4BE7-9303-95DD97D1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</TotalTime>
  <Application>LibreOffice/7.6.7.2$Linux_X86_64 LibreOffice_project/60$Build-2</Application>
  <AppVersion>15.0000</AppVersion>
  <Pages>3</Pages>
  <Words>639</Words>
  <Characters>4628</Characters>
  <CharactersWithSpaces>5249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2024-01-09T04:42:00Z</dcterms:created>
  <dc:creator>Киселев Виктор Вадимович</dc:creator>
  <dc:description/>
  <dc:language>ru-RU</dc:language>
  <cp:lastModifiedBy/>
  <cp:lastPrinted>2021-10-08T05:51:00Z</cp:lastPrinted>
  <dcterms:modified xsi:type="dcterms:W3CDTF">2024-07-11T17:01:59Z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