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</w:t>
            </w:r>
            <w:r>
              <w:rPr>
                <w:rFonts w:ascii="Times New Roman" w:hAnsi="Times New Roman"/>
                <w:b w:val="1"/>
                <w:sz w:val="28"/>
              </w:rPr>
              <w:t>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</w:t>
            </w:r>
            <w:r>
              <w:rPr>
                <w:rFonts w:ascii="Times New Roman" w:hAnsi="Times New Roman"/>
                <w:b w:val="1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sz w:val="28"/>
              </w:rPr>
              <w:t xml:space="preserve">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с 24 февраля 2022 года, и членам их семей»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 постановление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</w:t>
      </w:r>
      <w:r>
        <w:rPr>
          <w:rFonts w:ascii="Times New Roman" w:hAnsi="Times New Roman"/>
          <w:sz w:val="28"/>
        </w:rPr>
        <w:t>да, и членам их семей»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8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</w:t>
      </w:r>
      <w:r>
        <w:rPr>
          <w:rFonts w:ascii="Times New Roman" w:hAnsi="Times New Roman"/>
          <w:sz w:val="28"/>
        </w:rPr>
        <w:t xml:space="preserve">подпункте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пункта 4 </w:t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t xml:space="preserve"> слова «после 30 апреля 2023 года» заменить словами «в период с 30 апреля 2023 года по 30 июня 2024 года включительно»;</w:t>
      </w:r>
    </w:p>
    <w:p w14:paraId="19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дополнить частью 1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следующего содержания: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Предоставлять </w:t>
      </w:r>
      <w:r>
        <w:rPr>
          <w:rFonts w:ascii="Times New Roman" w:hAnsi="Times New Roman"/>
          <w:sz w:val="28"/>
        </w:rPr>
        <w:t>дополнительную меру социальной поддержки</w:t>
      </w:r>
      <w:r>
        <w:rPr>
          <w:rFonts w:ascii="Times New Roman" w:hAnsi="Times New Roman"/>
          <w:b w:val="0"/>
          <w:sz w:val="28"/>
        </w:rPr>
        <w:t xml:space="preserve"> гражданам,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ключившим контракт о прохождении военной службы в соответствии с приказом начальника пункта отбора на военную службу по контракту (2 разряда) Восточного военного округа (г. Петропавловск-Камчатский) или приказом военного комиссара Камчатского края, и прибывшим к месту прохождения военной службы, и зачисленным в списки личного состава воинской части на основании приказа командира воинской части после 1 июля 2024 года,</w:t>
      </w:r>
      <w:r>
        <w:rPr>
          <w:rFonts w:ascii="Times New Roman" w:hAnsi="Times New Roman"/>
          <w:b w:val="0"/>
          <w:sz w:val="28"/>
        </w:rPr>
        <w:t xml:space="preserve"> принимающим (принимавшим) участие в специальной военной операции</w:t>
      </w:r>
      <w:r>
        <w:rPr>
          <w:rFonts w:ascii="Times New Roman" w:hAnsi="Times New Roman"/>
          <w:sz w:val="28"/>
        </w:rPr>
        <w:t xml:space="preserve">, в виде единовременной выплаты </w:t>
      </w:r>
      <w:r>
        <w:rPr>
          <w:rFonts w:ascii="Times New Roman" w:hAnsi="Times New Roman"/>
          <w:sz w:val="28"/>
        </w:rPr>
        <w:t xml:space="preserve">в размере </w:t>
      </w:r>
      <w:r>
        <w:br/>
      </w:r>
      <w:r>
        <w:rPr>
          <w:rFonts w:ascii="Times New Roman" w:hAnsi="Times New Roman"/>
          <w:sz w:val="28"/>
        </w:rPr>
        <w:t>505</w:t>
      </w:r>
      <w:r>
        <w:rPr>
          <w:rFonts w:ascii="Times New Roman" w:hAnsi="Times New Roman"/>
          <w:sz w:val="28"/>
        </w:rPr>
        <w:t xml:space="preserve"> 000,0 (пятьсот пять тысяч) рублей. 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Установить, что дополнительная мера социальной поддержки, установленная настоящей частью, предоставляется за счет средств резервного фонда Камчатского края и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прочих безвозмездных поступлений в краевой бюджет от негосударственных (муниципальных) организаций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b w:val="0"/>
          <w:sz w:val="28"/>
        </w:rPr>
        <w:t>.».</w:t>
      </w:r>
    </w:p>
    <w:p w14:paraId="1C000000">
      <w:pPr>
        <w:ind w:firstLine="708" w:left="0"/>
        <w:jc w:val="both"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1 июля 2024 года.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/>
    <w:sectPr>
      <w:headerReference r:id="rId1" w:type="default"/>
      <w:pgSz w:h="16838" w:orient="portrait" w:w="11906"/>
      <w:pgMar w:bottom="1134" w:footer="709" w:gutter="0" w:header="709" w:left="1418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4_ch"/>
    <w:link w:val="Style_25"/>
    <w:rPr>
      <w:rFonts w:ascii="Times New Roman" w:hAnsi="Times New Roman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28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28_ch"/>
    <w:link w:val="Style_27"/>
    <w:rPr>
      <w:color w:themeColor="hyperlink" w:val="0563C1"/>
      <w:u w:val="single"/>
    </w:rPr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Balloon Text"/>
    <w:basedOn w:val="Style_4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4_ch"/>
    <w:link w:val="Style_31"/>
    <w:rPr>
      <w:rFonts w:ascii="Segoe UI" w:hAnsi="Segoe UI"/>
      <w:sz w:val="18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header"/>
    <w:basedOn w:val="Style_4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5_ch" w:type="character">
    <w:name w:val="header"/>
    <w:basedOn w:val="Style_4_ch"/>
    <w:link w:val="Style_3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2024-06-21T02:28:22Z</dcterms:modified>
</cp:coreProperties>
</file>