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дополнив его</w:t>
      </w:r>
      <w:r w:rsidR="00235109" w:rsidRPr="00235109">
        <w:rPr>
          <w:sz w:val="28"/>
          <w:szCs w:val="28"/>
        </w:rPr>
        <w:t xml:space="preserve"> код</w:t>
      </w:r>
      <w:r w:rsidR="00392E42">
        <w:rPr>
          <w:sz w:val="28"/>
          <w:szCs w:val="28"/>
        </w:rPr>
        <w:t>ом</w:t>
      </w:r>
      <w:r w:rsidR="00235109" w:rsidRPr="00235109">
        <w:rPr>
          <w:sz w:val="28"/>
          <w:szCs w:val="28"/>
        </w:rPr>
        <w:t xml:space="preserve"> бюджетной классификации Российской Федерации</w:t>
      </w:r>
      <w:r w:rsidR="002428F6" w:rsidRPr="00235109">
        <w:rPr>
          <w:sz w:val="28"/>
          <w:szCs w:val="28"/>
        </w:rPr>
        <w:t>:</w:t>
      </w:r>
    </w:p>
    <w:p w:rsidR="00AE358A" w:rsidRPr="00235109" w:rsidRDefault="00BE6B46" w:rsidP="002428F6">
      <w:pPr>
        <w:ind w:firstLine="709"/>
        <w:contextualSpacing/>
        <w:jc w:val="both"/>
        <w:rPr>
          <w:sz w:val="28"/>
          <w:szCs w:val="28"/>
        </w:rPr>
      </w:pPr>
      <w:r w:rsidRPr="00235109">
        <w:rPr>
          <w:sz w:val="28"/>
          <w:szCs w:val="28"/>
        </w:rPr>
        <w:t>«</w:t>
      </w:r>
      <w:r w:rsidR="00FD6D8F" w:rsidRPr="00235109">
        <w:rPr>
          <w:sz w:val="28"/>
          <w:szCs w:val="28"/>
        </w:rPr>
        <w:t xml:space="preserve">2 19 </w:t>
      </w:r>
      <w:r w:rsidR="003C49A3">
        <w:rPr>
          <w:sz w:val="28"/>
          <w:szCs w:val="28"/>
        </w:rPr>
        <w:t>27139</w:t>
      </w:r>
      <w:r w:rsidR="00FD6D8F" w:rsidRPr="00235109">
        <w:rPr>
          <w:sz w:val="28"/>
          <w:szCs w:val="28"/>
        </w:rPr>
        <w:t xml:space="preserve"> 02 0000 150</w:t>
      </w:r>
      <w:r w:rsidR="00B96993" w:rsidRPr="00235109">
        <w:rPr>
          <w:sz w:val="28"/>
          <w:szCs w:val="28"/>
        </w:rPr>
        <w:t xml:space="preserve"> </w:t>
      </w:r>
      <w:r w:rsidR="007338BC" w:rsidRPr="007338BC">
        <w:rPr>
          <w:sz w:val="28"/>
          <w:szCs w:val="28"/>
        </w:rPr>
        <w:t xml:space="preserve">Возврат остатков субсидий на </w:t>
      </w:r>
      <w:proofErr w:type="spellStart"/>
      <w:r w:rsidR="007338BC" w:rsidRPr="007338BC">
        <w:rPr>
          <w:sz w:val="28"/>
          <w:szCs w:val="28"/>
        </w:rPr>
        <w:t>софинансирование</w:t>
      </w:r>
      <w:proofErr w:type="spellEnd"/>
      <w:r w:rsidR="007338BC" w:rsidRPr="007338BC">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r w:rsidR="00675AA1" w:rsidRPr="00235109">
        <w:rPr>
          <w:sz w:val="28"/>
          <w:szCs w:val="28"/>
        </w:rPr>
        <w:t>»</w:t>
      </w:r>
      <w:r w:rsidR="00A62087" w:rsidRPr="00235109">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3C098C">
        <w:rPr>
          <w:sz w:val="28"/>
          <w:szCs w:val="28"/>
        </w:rPr>
        <w:t>а,</w:t>
      </w:r>
      <w:bookmarkStart w:id="1" w:name="_GoBack"/>
      <w:bookmarkEnd w:id="1"/>
      <w:r w:rsidR="003C098C">
        <w:rPr>
          <w:sz w:val="28"/>
          <w:szCs w:val="28"/>
        </w:rPr>
        <w:t xml:space="preserve"> указанного</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3C098C">
        <w:rPr>
          <w:sz w:val="28"/>
          <w:szCs w:val="28"/>
        </w:rPr>
        <w:t xml:space="preserve">строительства и жилищной политики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5D5722" w:rsidRPr="005D5722">
        <w:rPr>
          <w:sz w:val="28"/>
          <w:szCs w:val="28"/>
        </w:rPr>
        <w:t>1</w:t>
      </w:r>
      <w:r w:rsidR="00F15B3B">
        <w:rPr>
          <w:sz w:val="28"/>
          <w:szCs w:val="28"/>
        </w:rPr>
        <w:t>2</w:t>
      </w:r>
      <w:r w:rsidR="00881C7B" w:rsidRPr="00C92E9A">
        <w:rPr>
          <w:sz w:val="28"/>
          <w:szCs w:val="28"/>
        </w:rPr>
        <w:t>.</w:t>
      </w:r>
    </w:p>
    <w:p w:rsidR="0041648F" w:rsidRDefault="0041648F" w:rsidP="00675AA1">
      <w:pPr>
        <w:ind w:firstLine="709"/>
        <w:jc w:val="both"/>
        <w:rPr>
          <w:sz w:val="28"/>
          <w:szCs w:val="28"/>
        </w:rPr>
      </w:pPr>
    </w:p>
    <w:p w:rsidR="0041648F" w:rsidRDefault="0041648F"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3C098C">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43195"/>
    <w:rsid w:val="00A435F2"/>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3754"/>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AAA3-F28A-43CF-B413-E913FC9D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51</cp:revision>
  <cp:lastPrinted>2023-09-12T23:14:00Z</cp:lastPrinted>
  <dcterms:created xsi:type="dcterms:W3CDTF">2023-09-12T23:18:00Z</dcterms:created>
  <dcterms:modified xsi:type="dcterms:W3CDTF">2024-03-04T02:28:00Z</dcterms:modified>
</cp:coreProperties>
</file>