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Lines w:val="0"/>
        <w:keepNext w:val="0"/>
        <w:pageBreakBefore w:val="0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3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9264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keepLines w:val="0"/>
        <w:keepNext w:val="0"/>
        <w:pageBreakBefore w:val="0"/>
        <w:spacing w:after="0" w:line="360" w:lineRule="auto"/>
        <w:widowControl w:val="off"/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ru-RU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МИНИСТЕРСТВО СТРОИТЕЛЬСТВА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И ЖИЛИЩНОЙ ПОЛИТИКИ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КАМЧАТСКОГО КРАЯ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:szCs w:val="1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  <w:lang w:eastAsia="ru-RU"/>
        </w:rPr>
      </w:r>
    </w:p>
    <w:p>
      <w:pPr>
        <w:ind w:firstLine="709"/>
        <w:jc w:val="center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none"/>
          <w:lang w:eastAsia="ru-RU"/>
        </w:rPr>
      </w:r>
    </w:p>
    <w:tbl>
      <w:tblPr>
        <w:tblStyle w:val="726"/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 xml:space="preserve">[</w:t>
            </w: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  <w:highlight w:val="none"/>
              </w:rPr>
              <w:t xml:space="preserve">Дата регистрации] № [Номер документа]</w:t>
            </w:r>
            <w:bookmarkEnd w:id="0"/>
            <w:r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</w:tr>
    </w:tbl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tbl>
      <w:tblPr>
        <w:tblStyle w:val="732"/>
        <w:tblW w:w="9210" w:type="dxa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10"/>
      </w:tblGrid>
      <w:tr>
        <w:trPr/>
        <w:tc>
          <w:tcPr>
            <w:tcW w:w="92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предоставления учителям общеобразовательных учреждений в Камчатском крае в возрасте до 35 лет (включительно) социальных выплат на уплату первоначального взноса по ипотечному жилищному кредиту (займу) на приобретение жилого помещения в Камчатском крае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соответствии с частью 36 раздела 3 Приложения 1 к постановлению Правительства Камчатского края от 21.02.2024 № 55-П </w:t>
      </w:r>
      <w:bookmarkStart w:id="7" w:name="_GoBack"/>
      <w:r/>
      <w:bookmarkEnd w:id="7"/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«Об утверждении государственной программы Камчатского края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«Обеспечение доступным и комфортным жильем жителей Камчатского края»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r>
    </w:p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</w:r>
    </w:p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/>
        </w:rPr>
      </w:r>
    </w:p>
    <w:p>
      <w:pPr>
        <w:ind w:firstLine="709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 w:eastAsia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 w:eastAsia="en-US"/>
        </w:rPr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 w:eastAsia="en-US"/>
        </w:rPr>
      </w:r>
    </w:p>
    <w:p>
      <w:pPr>
        <w:numPr>
          <w:ilvl w:val="0"/>
          <w:numId w:val="0"/>
        </w:numPr>
        <w:ind w:left="0" w:firstLine="658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highlight w:val="none"/>
          <w:lang w:val="ru-RU" w:eastAsia="en-US" w:bidi="ar"/>
        </w:rPr>
        <w:t xml:space="preserve">1. Утвердить Порядок предоставления учителям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общеобразовательных учреждений в Камчатском крае в возрасте до 35 лет (включительно) социальных выплат на уплату первоначального взноса по ипотечному жилищному кредиту (займу) на приобретение жилого помещения в Камчатском крае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согласно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приложению к настоящему приказу.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highlight w:val="none"/>
          <w:lang w:val="ru-RU" w:eastAsia="zh-CN" w:bidi="ar"/>
        </w:rPr>
      </w:r>
    </w:p>
    <w:p>
      <w:pPr>
        <w:numPr>
          <w:ilvl w:val="0"/>
          <w:numId w:val="0"/>
        </w:numPr>
        <w:ind w:left="9" w:firstLine="700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highlight w:val="none"/>
          <w:lang w:val="ru-RU" w:eastAsia="zh-CN" w:bidi="ar"/>
        </w:rPr>
        <w:t xml:space="preserve">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Наст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оящий приказ вступает в силу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  <w:t xml:space="preserve">после дня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его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  <w:t xml:space="preserve">официального опубликования и распространяется на правоотношения, возникшие с 1 января 2024 года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 w:eastAsia="zh-CN"/>
        </w:rPr>
      </w:r>
    </w:p>
    <w:p>
      <w:pPr>
        <w:numPr>
          <w:ilvl w:val="0"/>
          <w:numId w:val="0"/>
        </w:numPr>
        <w:ind w:left="9" w:firstLine="700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r>
    </w:p>
    <w:p>
      <w:pPr>
        <w:numPr>
          <w:ilvl w:val="0"/>
          <w:numId w:val="0"/>
        </w:numPr>
        <w:ind w:left="9" w:firstLine="700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r>
    </w:p>
    <w:p>
      <w:pPr>
        <w:numPr>
          <w:ilvl w:val="0"/>
          <w:numId w:val="0"/>
        </w:numPr>
        <w:ind w:left="9" w:firstLine="700"/>
        <w:jc w:val="both"/>
        <w:keepLines w:val="0"/>
        <w:keepNext w:val="0"/>
        <w:pageBreakBefore w:val="0"/>
        <w:spacing w:after="0" w:line="240" w:lineRule="auto"/>
        <w:widowControl w:val="off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r>
    </w:p>
    <w:tbl>
      <w:tblPr>
        <w:tblStyle w:val="726"/>
        <w:tblW w:w="968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310"/>
      </w:tblGrid>
      <w:tr>
        <w:trPr>
          <w:trHeight w:val="1215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7" w:type="dxa"/>
            <w:textDirection w:val="lrTb"/>
            <w:noWrap w:val="false"/>
          </w:tcPr>
          <w:p>
            <w:pPr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 xml:space="preserve">Врио Министра</w:t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  <w:p>
            <w:pPr>
              <w:ind w:left="30" w:right="27"/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4" w:type="dxa"/>
            <w:textDirection w:val="lrTb"/>
            <w:noWrap w:val="false"/>
          </w:tcPr>
          <w:p>
            <w:pPr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/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310" w:type="dxa"/>
            <w:textDirection w:val="lrTb"/>
            <w:noWrap w:val="false"/>
          </w:tcPr>
          <w:p>
            <w:pPr>
              <w:jc w:val="right"/>
              <w:keepLines w:val="0"/>
              <w:keepNext w:val="0"/>
              <w:pageBreakBefore w:val="0"/>
              <w:spacing w:after="0" w:line="240" w:lineRule="auto"/>
              <w:widowControl w:val="off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 xml:space="preserve">А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В. Фирстов</w:t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</w:tbl>
    <w:p>
      <w:pPr>
        <w:keepLines w:val="0"/>
        <w:keepNext w:val="0"/>
        <w:pageBreakBefore w:val="0"/>
        <w:widowControl w:val="off"/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zh-CN" w:bidi="ar"/>
        </w:rPr>
      </w:r>
    </w:p>
    <w:p>
      <w:pPr>
        <w:keepLines w:val="0"/>
        <w:keepNext w:val="0"/>
        <w:pageBreakBefore w:val="0"/>
        <w:widowControl w:val="off"/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zh-CN" w:bidi="ar"/>
        </w:rPr>
      </w:r>
    </w:p>
    <w:tbl>
      <w:tblPr>
        <w:tblStyle w:val="732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2084"/>
      </w:tblGrid>
      <w:tr>
        <w:trPr>
          <w:trHeight w:val="2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9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приказу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Министерства</w:t>
            </w:r>
            <w:r>
              <w:rPr>
                <w:rFonts w:hint="default" w:ascii="Times New Roman" w:hAnsi="Times New Roman"/>
                <w:sz w:val="28"/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  <w:t xml:space="preserve">строительства и жилищной политики Камчатского края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spacing w:after="6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0"/>
                <w:szCs w:val="20"/>
              </w:rPr>
              <w:t xml:space="preserve">[Дата регистрации]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84" w:type="dxa"/>
            <w:textDirection w:val="lrTb"/>
            <w:noWrap w:val="false"/>
          </w:tcPr>
          <w:p>
            <w:pPr>
              <w:spacing w:after="60" w:line="240" w:lineRule="auto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</w:rPr>
              <w:t xml:space="preserve">[Номер документа]</w:t>
            </w: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r>
          </w:p>
        </w:tc>
      </w:tr>
      <w:tr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a6a6a6" w:themeColor="background1" w:themeShade="A6"/>
                <w:sz w:val="28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8"/>
              </w:rPr>
            </w:r>
            <w:r>
              <w:rPr>
                <w:rFonts w:ascii="Times New Roman" w:hAnsi="Times New Roman"/>
                <w:color w:val="a6a6a6" w:themeColor="background1" w:themeShade="A6"/>
                <w:sz w:val="28"/>
              </w:rPr>
            </w:r>
          </w:p>
        </w:tc>
      </w:tr>
    </w:tbl>
    <w:p>
      <w:pPr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>
        <w:rPr>
          <w:b w:val="0"/>
          <w:bCs w:val="0"/>
          <w:sz w:val="28"/>
          <w:szCs w:val="28"/>
        </w:rPr>
      </w:r>
    </w:p>
    <w:p>
      <w:pPr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учителям общеобразовательных учреждений в Камчатском крае в возрасте до 35 лет (включительно) социальных выплат на уплату первоначального взноса по ипотечному жилищному кредиту (займу) на приобретение жилого помещения в Камчатском крае </w:t>
      </w:r>
      <w:r>
        <w:rPr>
          <w:b w:val="0"/>
          <w:bCs w:val="0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Настоящий Порядок регули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рует отношения, связанные с предоставлением проживающим в Камчатском крае гражданам Российской Федерации в возрасте до 35 лет (включительно), осуществляющим не менее одного года трудовую деятельность в должности учителя общеобразовательных учреждений в Кам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чатском крае (далее - граждане) социальных выплат на уплату первоначального взноса по ипотечному жилищному кредиту (займу) на приобретение жилого помещения в Камчатском крае, предоставляемому кредитными организациями и иными организациями, реализующими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граммы ипотечного жилищного кредитования (заимствования) в Камчатском крае (далее соответственно - кредитные организации, социальная выплата).</w:t>
      </w:r>
      <w:r>
        <w:rPr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целей настоящего Порядка к общеобразовательным учреждениям в Камчатском крае относятся краевые государственные и муниципальные общеобразова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тельные учреждения, расположенные на территории Камчатского края, осуществляющие в качестве основной цели своей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  <w:r>
        <w:rPr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Получение социальной выплаты является добровольным и носит заявительный характер. Граждане могут реализовать свое право на получение социальной выплаты в соответствии с настоящим Порядком только один раз.</w:t>
      </w:r>
      <w:r>
        <w:rPr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у гражданина права на получение за счет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 краевого бюджета социальной выплаты в соответствии с настоящим Порядком и по иному правовому основанию, предусмотренному нормативными правовыми актами Камчатского края, социальная выплата предоставляется по одному из оснований по выбору гражданина.</w:t>
      </w:r>
      <w:r>
        <w:rPr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Предоставление социальных выплат гражданам в соответствии с настоящим Порядком осуществляется Министерство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и жилищной политики Камчатского края (далее — Министерство).</w:t>
      </w:r>
      <w:r>
        <w:rPr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социальных выплат 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ражданам осуществляется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на соответствующие цели Министерству.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Министерством социальной выплаты гражданину осуществляется в форме безналичного расчета путем перечисления социальной выплаты на счет гражданина, открытый в кредитной организации.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Социальная вып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лата предоставляется на уплату первоначального взноса по ипотечному жилищному кредиту (займу) на приобретение жилого помещения в Камчатском крае в собственность гражданина либо в совместную (до левую) собственность в размере, определяемом в соответствии с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"Par21"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5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 допускается использование социальной выплаты на погашение иных процентов, основного долга по ипотечному жилищному кредиту (займу), штрафов, комиссий и пеней за просрочку исполнения обязательств по ипотечному жилищному кредиту (займу).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Социальная выплата должна быть направлена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приобретение жилого помещения в Камчатском крае, отвечающего установленным санитарным и техническим правилам и нормам, иным требованиям законодательства Российской Федерации, в собственность гражданина либо в совместную (долевую) собственность гражданина.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/>
      <w:bookmarkStart w:id="2" w:name="Par21"/>
      <w:r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 xml:space="preserve">5. Размер социальной выплаты рассчитывается на дату принятия решения о предоставлении социальной выплаты по формуле: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вып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= S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норм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 СТ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ср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 30%, где:</w:t>
      </w:r>
      <w:r>
        <w:rPr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вып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размер социальной выплаты гражданину (в рублях);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норм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площадь жилого помещения с учетом состава семьи гражданина, определенная в соответствии с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"Par28"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ср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средняя рыночная стоимость 1 кв. метра общей площади жилья (в рублях) по Камчатскому краю, ежеквартально утверждаемая приказом Министерства строительства и жилищно-коммунального хозяйства Российской Федерации.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/>
      <w:bookmarkStart w:id="3" w:name="Par28"/>
      <w:r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 xml:space="preserve">6. Площадь жилого помещения, используемая для расчета размера социальной выплаты, устанавливается в следующем размере: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для одиноко проживающего гражданина - 33 кв. метра общей площади жилого помещения;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для одного члена семьи, состоящей из двух человек, - 21 кв. метр общей площади жилого помещения;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для одного члена семьи, состоящей из трех и более человек, - 18 кв. метров общей площади жилого помещения.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Для получения социальной выплаты гражданин представляет в Министерство следующие документы: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заявление в 2-х экземплярах по форме согласно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"Par114"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 (один экземпляр возвращается гражданину с указанием даты и времени принятия заявления и приложенных к нему документов);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документ, удостоверяющий личность гражданина;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до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кументы, удостоверяющие личность всех совместно проживающих членов его семьи, свидетельство(а) о рождении ребенка (детей), свидетельство о заключении (расторжении) брака, документ, подтверждающий постоянное проживание по месту жительства в Камчатском крае;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сведения о трудовой деятельности и (или) копия трудовой книжки либо копии иных документов, подтверждающих трудовую деятельность гражданина;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согласие на обработку персональных данных по форме, утвержденной Министерством.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Граждане, претендующие на получение социальной выплаты, несут полную ответственность за достоверность представленных ими сведений.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поступившие в Министерство, регистрируются в день поступления в журнале учета документов, поступивших от граждан, претендующих на получение социальной выплаты, должностным лицом, ответственным за прием документов, с присвоением входящего номера.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Министерство формирует список претендентов на получение социальной выплаты (далее - список претендентов) по форме согласно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"Par150"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Список претендентов формируется в хронологической последовательности в соответствии с датой подачи гражданином документов, предусмотренных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"Par39"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 настоящего Порядка.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Министерство не реже одного раза в квартал текущего финансового года направляет список претендентов и представленные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гражданами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на рассмотрение Комиссии по определению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 (далее — Комиссия).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Положение о Комиссии и ее персональный состав утверждаются приказом Министерства.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Комиссия в течение 5 рабочих дней со дня получения списка претендентов и документов, представленных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гражданами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проводит заседание.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14. По результатам рассмотрения на заседании списка претендентов и представленных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гражданами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Комиссия принимает одно из следующих решений рекомендательного характера: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о призн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ании гражданина получателем социальной выплаты и включении его в список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 (далее - список получателей);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об отказе в признании гражданина получателем социальной выплаты.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 Основаниями для принятия Комиссией решения рекомендательного характера об отказе в признании гражданина получателем социальной выплаты являются: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несоответствие гражданина условиям, установленным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"Par32"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 настоящего Порядка;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наличие в представленных документах недостоверных сведений;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представление документов, предусмотренных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"Par39"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 настоящего Порядка, не в полном объеме;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личное заявление гражданина об отказе от участия в мероприятиях в соответствии с настоящим Порядком.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16. Повторное обращение гражданина с заявлением на получение социальной выплаты допускается после устранения оснований для отказа, предусмотренных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"Par55"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настоящего Порядка.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17. Сформированный Комиссией список получателей утверждается приказом Министерства в течение 5 рабочих дней со дня его представления Комиссией.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18. Министерство в течение 5 рабочих дней с даты утверждения списка получателей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любым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доступным способом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уведомляет граждан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принятом решении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19.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Социальная выплата предоставляется в порядке очередности, исходя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подачи гражданином документов, предусмотренных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"Par39"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 настоящего Порядка.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20.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производит расчет 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издает приказ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гражданину социальной выплаты и в течение 5 дней со дня подписания направляет его копию в адрес гражданина почтовым отправлением либо вручает гражданину личн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/>
      <w:bookmarkStart w:id="4" w:name="Par66"/>
      <w:r/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Граждан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течение 30 дней со дня получения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приказа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социальной выплаты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Министерство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справку кредитной организации о максимально возможной сумме ипотечного жилищного кредита (займа) на приобретение жилого помещения в Камчатском крае, который может быть предоставлен гражданину (заемщику) либо обоим супругам (созаемщикам) (далее — справка).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В случае непредставления гражданином справки в срок, указанный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"Par66"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 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Министерство издает приказ об исключении гражданина из списка получателей социальной выплаты. В течение 5 рабочих дней с даты издания приказа Министерство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любым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доступным способом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уведомляет гражданина об исключении его из списка получателей социальной выплаты.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поступления в Министерство личного заявления гражданина об отказ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от предоставления социальной выплаты и исключении его из списка получателей социальной выплаты, Министерство в течение 5 рабочих дней со дня поступления заявления гражданина издает приказ об исключении гражданина из списка получателей социальной выплаты.</w:t>
      </w:r>
      <w:bookmarkStart w:id="5" w:name="Par69"/>
      <w:r/>
      <w:bookmarkEnd w:id="5"/>
      <w:r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целях перечисления средств социальной выплаты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гражданин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 в Министерство следующие документы: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заявление о перечислении социальной выплаты на счет гражданина, открытый в кредитной организации;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копию договора ипотечного жилищного кредитования (заимствования);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копию договора купли-продажи жилого помещения с регистрационными надписями органа, осуществляющего государственную регистрацию прав на недвижимое имущество и сделок с ним, о государственной регистрации ипотеки;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копию выписки из Единого государственного реестра прав на недвижимое имущество и сделок с ним, удостоверяющую проведенную регистрацию права, приобретенное с использованием средств ипотечного жилищного кредита (займа).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Средства социальной выплаты должны быть использованы гражданином на цели, определенные настоящим Порядком, в течение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пяти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месяцев со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предоставления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им справки, установленной частью 21 настоящего Порядка,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 не позднее 20 декабря текущего финансового года.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В случае непредставления получателем социальной выплаты документов, указанных в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\l "Par69"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 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Министерством издается приказ об исключении гражданина из списка получателей социальной выплаты. В течение 5 рабочих дней с даты издания приказа Министерство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любым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доступным способом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уведомляет гражданина об исключении его из списка получателей социальной выплаты.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При исключении гражданина из списка получателей социальной выплаты в случаях, указанных в настоящем Порядке, повторное его участие в мероприятиях, в соответствии с настоящим Порядком, осуществляется на общих основаниях.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 w:bidi="ar-SA"/>
        </w:rPr>
        <w:t xml:space="preserve">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. При получении социальной выплаты гражданин дает обязательство проработать не менее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трех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 лет со дня получения социальной выплаты в общеобразовательном учреждении, с которым гражданином заключен трудовой договор по основному месту работы, в должности, предусматривающей выполнение обязанностей по обучению.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/>
      <w:bookmarkStart w:id="6" w:name="Par76"/>
      <w:r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Министерство в течение 10 рабочих дней со дня представления получателем социальной выплаты документов, предусмотренных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"Par69"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заключает с получателем социальной выплаты Соглашение об обязательстве получателя социальной выплаты, предусмотренном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частью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 (далее — Соглашение).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Министерство в течение 30 рабочих дней со дня подписания гражданином Соглашения, предусмотренного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"Par76"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частью 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осуществляет перечисление социальной выплаты на счет получателя социальной выплаты, открытый в кредитной организации.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Социальная выплата считается предоставленной с даты перечисления социальной выплаты в полном объеме на счет получателя социальной выплаты, открытый в кредитной организации.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Гражд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анин, получивший социальную выплату, обязан в течение срока действия Соглашения уведомлять Министерство обо всех изменениях, касающихся его трудовых отношений с общеобразовательным учреждением, в течение 10 дней с момента возникновения указанных изменений.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color w:val="auto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В случае не исполнения гражданином обязательства, предусмотренного частью 26 настоящего Порядка, гражданин в течение 30 дней после дня расторжения трудового договора возвращает в Министерство полученные денежные средства.</w:t>
      </w:r>
      <w:r>
        <w:rPr>
          <w:color w:val="auto"/>
        </w:rPr>
      </w:r>
    </w:p>
    <w:p>
      <w:pPr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расторжения трудового договора с гражданином, получившим социальную выплату, до истечения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трех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лет со дня получения социальной выплаты по иным основаниям, предусмотренным Трудовым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"consultantplus://offline/ref=0412989B6EC9BAC3B71E124C45941EE4ECE09028381BDACD08DF8513CB9C05F0EBCA8FD484E6DAB6469F46023DjDH7C"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кодексом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возврат гражданином денежных средств не осуществляется.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Style w:val="732"/>
        <w:tblW w:w="9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488"/>
        <w:gridCol w:w="48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8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/>
                <w:sz w:val="28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Порядку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 w:eastAsia="zh-CN" w:bidi="ar"/>
              </w:rPr>
              <w:t xml:space="preserve">предоставления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val="ru-RU" w:eastAsia="en-US" w:bidi="ar"/>
              </w:rPr>
              <w:t xml:space="preserve"> учителям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общеобразовательных учреждений в Камчатском крае в возрасте до 35 лет (включительно) социальных выплат на уплату первоначального взноса по ипотечному жилищному кредиту (займу) на приобретение жилого помещения в Камчатском крае</w:t>
            </w:r>
            <w:r>
              <w:rPr>
                <w:rFonts w:hint="default" w:ascii="Times New Roman" w:hAnsi="Times New Roman"/>
                <w:sz w:val="28"/>
                <w:lang w:val="ru-RU"/>
              </w:rPr>
            </w:r>
          </w:p>
        </w:tc>
      </w:tr>
    </w:tbl>
    <w:p>
      <w:pPr>
        <w:ind w:firstLine="540"/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</w:p>
    <w:tbl>
      <w:tblPr>
        <w:tblStyle w:val="726"/>
        <w:tblW w:w="97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8"/>
        <w:gridCol w:w="4830"/>
      </w:tblGrid>
      <w:tr>
        <w:trPr>
          <w:trHeight w:val="4154"/>
        </w:trPr>
        <w:tc>
          <w:tcPr>
            <w:tcW w:w="49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180" w:lineRule="atLeast"/>
              <w:widowControl w:val="off"/>
              <w:rPr>
                <w:rStyle w:val="74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Style w:val="743"/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4830" w:type="dxa"/>
            <w:vAlign w:val="top"/>
            <w:textDirection w:val="lrTb"/>
            <w:noWrap w:val="false"/>
          </w:tcPr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Министру строительства и жилищной политики Камчатского края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от гражданина(ки)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проживающего(ей) по адресу: ________________________________________________________________</w:t>
            </w:r>
            <w:r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тел. ____________________________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 _________________________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r>
          </w:p>
          <w:p>
            <w:pPr>
              <w:ind w:left="45" w:right="0" w:firstLine="0"/>
              <w:jc w:val="left"/>
              <w:spacing w:before="0" w:after="0" w:line="180" w:lineRule="atLeast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mail ____________________________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r>
          </w:p>
        </w:tc>
      </w:tr>
    </w:tbl>
    <w:p>
      <w:pPr>
        <w:pStyle w:val="742"/>
        <w:spacing w:line="240" w:lineRule="auto"/>
        <w:rPr>
          <w:rStyle w:val="74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743"/>
          <w:rFonts w:ascii="Times New Roman" w:hAnsi="Times New Roman" w:cs="Times New Roman"/>
          <w:b/>
          <w:bCs/>
          <w:sz w:val="28"/>
          <w:szCs w:val="28"/>
        </w:rPr>
        <w:t xml:space="preserve">ЗАЯВЛЕНИЕ</w:t>
      </w:r>
      <w:r>
        <w:rPr>
          <w:rStyle w:val="743"/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42"/>
        <w:jc w:val="both"/>
        <w:spacing w:line="240" w:lineRule="auto"/>
        <w:rPr>
          <w:rFonts w:hint="default"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zh-CN" w:bidi="ar-SA"/>
        </w:rPr>
      </w:pPr>
      <w:r>
        <w:rPr>
          <w:rFonts w:hint="default"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zh-CN" w:bidi="ar-SA"/>
        </w:rPr>
      </w:r>
      <w:r>
        <w:rPr>
          <w:rFonts w:hint="default"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zh-CN" w:bidi="ar-SA"/>
        </w:rPr>
      </w:r>
    </w:p>
    <w:p>
      <w:pPr>
        <w:ind w:left="0" w:right="0" w:firstLine="737"/>
        <w:jc w:val="both"/>
        <w:spacing w:before="0" w:after="0" w:line="240" w:lineRule="auto"/>
        <w:widowControl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Прошу включить меня в список претендентов  на получение социальной выплаты на уплату первоначального взноса по ипотечному жилищному кредиту (займу) на приобретение жилого помещения в Камчатском крае.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ind w:left="0" w:right="0" w:firstLine="737"/>
        <w:jc w:val="both"/>
        <w:spacing w:before="0" w:after="0" w:line="240" w:lineRule="auto"/>
        <w:widowControl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Подтверждаю достоверность сведений, представленных в прилагаемых к настоящему заявлению документах. 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ind w:left="0" w:right="0" w:firstLine="0"/>
        <w:jc w:val="both"/>
        <w:spacing w:before="0" w:after="0" w:line="240" w:lineRule="auto"/>
        <w:widowControl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___________________________________   ___________   _________________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                    (Ф.И.О. (при наличии)                (подпись)      </w:t>
      </w:r>
      <w:r>
        <w:rPr>
          <w:rFonts w:hint="default" w:ascii="Times New Roman" w:hAnsi="Times New Roman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               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    (дата)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К заявлению прилагаются следующие документы: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1.___________________________________________________________________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2.___________________________________________________________________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3.___________________________________________________________________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Заявление и прилагаемы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е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 к нему согласно перечню документы приняты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hint="default" w:ascii="Times New Roman" w:hAnsi="Times New Roman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«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</w:t>
      </w:r>
      <w:r>
        <w:rPr>
          <w:rFonts w:hint="default" w:ascii="Times New Roman" w:hAnsi="Times New Roman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</w:t>
      </w:r>
      <w:r>
        <w:rPr>
          <w:rFonts w:hint="default" w:ascii="Times New Roman" w:hAnsi="Times New Roman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»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____</w:t>
      </w:r>
      <w:r>
        <w:rPr>
          <w:rFonts w:hint="default" w:ascii="Times New Roman" w:hAnsi="Times New Roman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_______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  <w:t xml:space="preserve">________ года</w:t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  <w:r>
        <w:rPr>
          <w:rFonts w:ascii="Times New Roman" w:hAnsi="Times New Roman" w:eastAsiaTheme="minorHAnsi" w:cstheme="minorBidi"/>
          <w:b w:val="0"/>
          <w:bCs w:val="0"/>
          <w:color w:val="auto"/>
          <w:sz w:val="28"/>
          <w:szCs w:val="22"/>
          <w:lang w:val="ru-RU" w:eastAsia="en-US" w:bidi="ar-SA"/>
        </w:rPr>
      </w:r>
    </w:p>
    <w:p>
      <w:pPr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</w:p>
    <w:p>
      <w:pPr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</w:p>
    <w:p>
      <w:pPr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</w:p>
    <w:p>
      <w:pPr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</w:p>
    <w:p>
      <w:pPr>
        <w:jc w:val="both"/>
        <w:spacing w:before="0"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r>
    </w:p>
    <w:tbl>
      <w:tblPr>
        <w:tblStyle w:val="732"/>
        <w:tblW w:w="9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488"/>
        <w:gridCol w:w="48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8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/>
                <w:sz w:val="28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Порядку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 w:eastAsia="zh-CN" w:bidi="ar"/>
              </w:rPr>
              <w:t xml:space="preserve">предоставления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val="ru-RU" w:eastAsia="en-US" w:bidi="ar"/>
              </w:rPr>
              <w:t xml:space="preserve"> учителям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общеобразовательных учреждений в Камчатском крае в возрасте до 35 лет (включительно) социальных выплат на уплату первоначального взноса по ипотечному жилищному кредиту (займу) на приобретение жилого помещения в Камчатском крае</w:t>
            </w:r>
            <w:r>
              <w:rPr>
                <w:rFonts w:hint="default" w:ascii="Times New Roman" w:hAnsi="Times New Roman"/>
                <w:sz w:val="28"/>
                <w:lang w:val="ru-RU"/>
              </w:rPr>
            </w:r>
          </w:p>
        </w:tc>
      </w:tr>
    </w:tbl>
    <w:p>
      <w:pPr>
        <w:pStyle w:val="742"/>
        <w:spacing w:line="240" w:lineRule="auto"/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en-US" w:eastAsia="zh-CN"/>
        </w:rPr>
      </w:r>
      <w:r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en-US" w:eastAsia="zh-CN"/>
        </w:rPr>
      </w:r>
    </w:p>
    <w:p>
      <w:pPr>
        <w:pStyle w:val="742"/>
        <w:spacing w:line="240" w:lineRule="auto"/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  <w:t xml:space="preserve">СПИСОК</w:t>
      </w: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</w:r>
    </w:p>
    <w:p>
      <w:pPr>
        <w:pStyle w:val="742"/>
        <w:spacing w:line="240" w:lineRule="auto"/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  <w:t xml:space="preserve">ПРЕТЕНДЕНТОВ НА ПОЛУЧЕНИЕ СОЦИАЛЬНОЙ ВЫПЛАТЫ НА</w:t>
      </w:r>
      <w:r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  <w:t xml:space="preserve">УПЛАТУ ПЕРВОНАЧАЛЬНОГО ВЗНОСА ПО ИПОТЕЧНОМУ ЖИЛИЩНОМУ</w:t>
      </w:r>
      <w:r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  <w:t xml:space="preserve">КРЕДИТУ (ЗАЙМУ) НА ПРИОБРЕТЕНИЕ ЖИЛОГО ПОМЕЩЕНИЯ</w:t>
      </w:r>
      <w:r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  <w:t xml:space="preserve">В КАМЧАТСКОМ КРАЕ </w:t>
      </w:r>
      <w:r>
        <w:rPr>
          <w:rStyle w:val="743"/>
          <w:rFonts w:ascii="Times New Roman" w:hAnsi="Times New Roman" w:eastAsia="SimSun" w:cs="Times New Roman"/>
          <w:b/>
          <w:bCs/>
          <w:sz w:val="28"/>
          <w:szCs w:val="28"/>
        </w:rPr>
      </w:r>
    </w:p>
    <w:p>
      <w:pPr>
        <w:pStyle w:val="742"/>
        <w:spacing w:line="240" w:lineRule="auto"/>
        <w:rPr>
          <w:rStyle w:val="743"/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</w:r>
      <w:r>
        <w:rPr>
          <w:rStyle w:val="743"/>
          <w:rFonts w:ascii="Times New Roman" w:hAnsi="Times New Roman" w:eastAsia="SimSun" w:cs="Times New Roman"/>
          <w:b w:val="0"/>
          <w:bCs w:val="0"/>
          <w:sz w:val="28"/>
          <w:szCs w:val="28"/>
        </w:rPr>
      </w:r>
    </w:p>
    <w:tbl>
      <w:tblPr>
        <w:tblStyle w:val="7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"/>
        <w:gridCol w:w="1407"/>
        <w:gridCol w:w="1893"/>
        <w:gridCol w:w="1408"/>
        <w:gridCol w:w="992"/>
        <w:gridCol w:w="2040"/>
        <w:gridCol w:w="1408"/>
      </w:tblGrid>
      <w:tr>
        <w:trPr/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№ п/п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Дата подачи документов на включение в список претендентов (с указанием времени приема документов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r>
          </w:p>
        </w:tc>
        <w:tc>
          <w:tcPr>
            <w:gridSpan w:val="3"/>
            <w:tcW w:w="4293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Данные о гражданине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r>
          </w:p>
        </w:tc>
        <w:tc>
          <w:tcPr>
            <w:gridSpan w:val="2"/>
            <w:tcW w:w="344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Сведения о месте работы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</w:r>
          </w:p>
        </w:tc>
      </w:tr>
      <w:tr>
        <w:trPr/>
        <w:tc>
          <w:tcPr>
            <w:tcW w:w="521" w:type="dxa"/>
            <w:vMerge w:val="continue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93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Фамилия, имя, отчество (при наличии)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Число месяц год рождения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Количество членов семьи (чел.)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40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Наименование общеобразовательного учреждения в Камчатском крае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  <w:vertAlign w:val="baseline"/>
                <w:lang w:val="ru-RU" w:eastAsia="zh-CN"/>
              </w:rPr>
              <w:t xml:space="preserve">Занимаемая должность</w:t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521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40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521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40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521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040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742"/>
              <w:spacing w:line="240" w:lineRule="auto"/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Style w:val="743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r>
          </w:p>
        </w:tc>
      </w:tr>
    </w:tbl>
    <w:p>
      <w:pPr>
        <w:pStyle w:val="742"/>
        <w:spacing w:line="240" w:lineRule="auto"/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en-US" w:eastAsia="zh-CN"/>
        </w:rPr>
      </w:r>
      <w:r>
        <w:rPr>
          <w:rStyle w:val="743"/>
          <w:rFonts w:hint="default" w:ascii="Times New Roman" w:hAnsi="Times New Roman" w:eastAsia="SimSun" w:cs="Times New Roman"/>
          <w:b/>
          <w:bCs/>
          <w:sz w:val="28"/>
          <w:szCs w:val="28"/>
          <w:lang w:val="en-US" w:eastAsia="zh-CN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744" w:left="1418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3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73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30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61312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730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4"/>
    <w:next w:val="7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4"/>
    <w:next w:val="7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4"/>
    <w:next w:val="7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4"/>
    <w:next w:val="7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4"/>
    <w:next w:val="7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4"/>
    <w:next w:val="7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4"/>
    <w:next w:val="7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4"/>
    <w:next w:val="7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4"/>
    <w:next w:val="7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4"/>
    <w:next w:val="7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5"/>
    <w:link w:val="34"/>
    <w:uiPriority w:val="10"/>
    <w:rPr>
      <w:sz w:val="48"/>
      <w:szCs w:val="48"/>
    </w:rPr>
  </w:style>
  <w:style w:type="paragraph" w:styleId="36">
    <w:name w:val="Subtitle"/>
    <w:basedOn w:val="724"/>
    <w:next w:val="7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5"/>
    <w:link w:val="36"/>
    <w:uiPriority w:val="11"/>
    <w:rPr>
      <w:sz w:val="24"/>
      <w:szCs w:val="24"/>
    </w:rPr>
  </w:style>
  <w:style w:type="paragraph" w:styleId="38">
    <w:name w:val="Quote"/>
    <w:basedOn w:val="724"/>
    <w:next w:val="7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4"/>
    <w:next w:val="7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5"/>
    <w:link w:val="730"/>
    <w:uiPriority w:val="99"/>
  </w:style>
  <w:style w:type="character" w:styleId="45">
    <w:name w:val="Footer Char"/>
    <w:basedOn w:val="725"/>
    <w:link w:val="731"/>
    <w:uiPriority w:val="99"/>
  </w:style>
  <w:style w:type="paragraph" w:styleId="46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5"/>
    <w:uiPriority w:val="99"/>
    <w:unhideWhenUsed/>
    <w:rPr>
      <w:vertAlign w:val="superscript"/>
    </w:rPr>
  </w:style>
  <w:style w:type="paragraph" w:styleId="178">
    <w:name w:val="endnote text"/>
    <w:basedOn w:val="7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5"/>
    <w:uiPriority w:val="99"/>
    <w:semiHidden/>
    <w:unhideWhenUsed/>
    <w:rPr>
      <w:vertAlign w:val="superscript"/>
    </w:rPr>
  </w:style>
  <w:style w:type="paragraph" w:styleId="181">
    <w:name w:val="toc 1"/>
    <w:basedOn w:val="724"/>
    <w:next w:val="7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4"/>
    <w:next w:val="7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4"/>
    <w:next w:val="7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4"/>
    <w:next w:val="7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4"/>
    <w:next w:val="7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4"/>
    <w:next w:val="7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4"/>
    <w:next w:val="7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4"/>
    <w:next w:val="7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4"/>
    <w:next w:val="7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4"/>
    <w:next w:val="724"/>
    <w:uiPriority w:val="99"/>
    <w:unhideWhenUsed/>
    <w:pPr>
      <w:spacing w:after="0" w:afterAutospacing="0"/>
    </w:pPr>
  </w:style>
  <w:style w:type="paragraph" w:styleId="724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725" w:default="1">
    <w:name w:val="Default Paragraph Font"/>
    <w:uiPriority w:val="1"/>
    <w:semiHidden/>
    <w:unhideWhenUsed/>
    <w:qFormat/>
  </w:style>
  <w:style w:type="table" w:styleId="72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Hyperlink"/>
    <w:basedOn w:val="725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28">
    <w:name w:val="Balloon Text"/>
    <w:basedOn w:val="724"/>
    <w:link w:val="73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29">
    <w:name w:val="Plain Text"/>
    <w:basedOn w:val="724"/>
    <w:link w:val="733"/>
    <w:uiPriority w:val="99"/>
    <w:semiHidden/>
    <w:unhideWhenUsed/>
    <w:qFormat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30">
    <w:name w:val="Header"/>
    <w:basedOn w:val="724"/>
    <w:link w:val="736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1">
    <w:name w:val="Footer"/>
    <w:basedOn w:val="724"/>
    <w:link w:val="734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732">
    <w:name w:val="Table Grid"/>
    <w:basedOn w:val="726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3" w:customStyle="1">
    <w:name w:val="Текст Знак"/>
    <w:basedOn w:val="725"/>
    <w:link w:val="729"/>
    <w:uiPriority w:val="99"/>
    <w:semiHidden/>
    <w:qFormat/>
    <w:rPr>
      <w:rFonts w:ascii="Calibri" w:hAnsi="Calibri" w:eastAsia="Calibri" w:cs="Times New Roman"/>
      <w:szCs w:val="21"/>
    </w:rPr>
  </w:style>
  <w:style w:type="character" w:styleId="734" w:customStyle="1">
    <w:name w:val="Нижний колонтитул Знак"/>
    <w:basedOn w:val="725"/>
    <w:link w:val="731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35" w:customStyle="1">
    <w:name w:val="Текст выноски Знак"/>
    <w:basedOn w:val="725"/>
    <w:link w:val="728"/>
    <w:uiPriority w:val="99"/>
    <w:semiHidden/>
    <w:qFormat/>
    <w:rPr>
      <w:rFonts w:ascii="Segoe UI" w:hAnsi="Segoe UI" w:cs="Segoe UI"/>
      <w:sz w:val="18"/>
      <w:szCs w:val="18"/>
    </w:rPr>
  </w:style>
  <w:style w:type="character" w:styleId="736" w:customStyle="1">
    <w:name w:val="Верхний колонтитул Знак"/>
    <w:basedOn w:val="725"/>
    <w:link w:val="730"/>
    <w:uiPriority w:val="99"/>
    <w:qFormat/>
  </w:style>
  <w:style w:type="table" w:styleId="737" w:customStyle="1">
    <w:name w:val="Сетка таблицы1"/>
    <w:basedOn w:val="726"/>
    <w:uiPriority w:val="5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8" w:customStyle="1">
    <w:name w:val="Сетка таблицы2"/>
    <w:basedOn w:val="726"/>
    <w:uiPriority w:val="5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9" w:customStyle="1">
    <w:name w:val="ConsPlusNormal"/>
    <w:link w:val="740"/>
    <w:uiPriority w:val="0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styleId="740" w:customStyle="1">
    <w:name w:val="ConsPlusNormal Знак"/>
    <w:link w:val="739"/>
    <w:uiPriority w:val="0"/>
    <w:qFormat/>
    <w:rPr>
      <w:rFonts w:ascii="Arial" w:hAnsi="Arial" w:eastAsia="Times New Roman" w:cs="Arial"/>
      <w:sz w:val="20"/>
      <w:szCs w:val="20"/>
      <w:lang w:eastAsia="ru-RU"/>
    </w:rPr>
  </w:style>
  <w:style w:type="paragraph" w:styleId="741">
    <w:name w:val="List Paragraph"/>
    <w:basedOn w:val="724"/>
    <w:uiPriority w:val="34"/>
    <w:qFormat/>
    <w:pPr>
      <w:contextualSpacing/>
      <w:ind w:left="720"/>
    </w:pPr>
  </w:style>
  <w:style w:type="paragraph" w:styleId="742" w:customStyle="1">
    <w:name w:val="&lt;041E&gt;&lt;0441&gt;&lt;043D&gt;&lt;043E&gt;&lt;0432&gt;&lt;043D&gt;&lt;043E&gt;&lt;0439&gt; &lt;0426&gt;&lt;0435&gt;&lt;043D&gt;&lt;0442&gt;&lt;0440&gt;"/>
    <w:basedOn w:val="724"/>
    <w:uiPriority w:val="0"/>
    <w:qFormat/>
    <w:pPr>
      <w:jc w:val="center"/>
      <w:spacing w:after="0" w:line="180" w:lineRule="atLeast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styleId="743" w:customStyle="1">
    <w:name w:val="&lt;041E&gt;&lt;0441&gt;&lt;043D&gt;&lt;043E&gt;&lt;0432&gt;&lt;043D&gt;&lt;043E&gt;&lt;0439&gt;1"/>
    <w:uiPriority w:val="0"/>
    <w:qFormat/>
    <w:rPr>
      <w:rFonts w:ascii="Arial" w:hAnsi="Arial" w:cs="Arial"/>
    </w:rPr>
  </w:style>
  <w:style w:type="numbering" w:styleId="226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Конова Анна Игоревна</cp:lastModifiedBy>
  <cp:revision>5</cp:revision>
  <dcterms:created xsi:type="dcterms:W3CDTF">2023-10-25T09:55:00Z</dcterms:created>
  <dcterms:modified xsi:type="dcterms:W3CDTF">2024-02-27T02:04:20Z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D9B3699F1EC4413AAB493505CF0EA307_13</vt:lpwstr>
  </property>
</Properties>
</file>