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из краевого бюджета субсидии государственному унитарному предприятию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«Камчатфармация»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 Бюджетного кодекса Рос</w:t>
      </w:r>
      <w:r>
        <w:rPr>
          <w:rFonts w:ascii="Times New Roman" w:hAnsi="Times New Roman"/>
          <w:sz w:val="28"/>
        </w:rPr>
        <w:t xml:space="preserve">сийской Федерации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из краевого бюджета субсидии государственному унитарному предприятию Камчатского края «Камчатфармация» на возмещение затрат, связанных с оказанием услуг п</w:t>
      </w:r>
      <w:r>
        <w:rPr>
          <w:rFonts w:ascii="Times New Roman" w:hAnsi="Times New Roman"/>
          <w:sz w:val="28"/>
        </w:rPr>
        <w:t xml:space="preserve">о хранению, реализации, распределению, приобретению наркотических средств, психотропных веществ и их прекурсоров, согласно приложению к настоящему постановлению.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14:paraId="1A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06.03.2023 </w:t>
      </w:r>
      <w:r>
        <w:br/>
      </w:r>
      <w:r>
        <w:rPr>
          <w:rFonts w:ascii="Times New Roman" w:hAnsi="Times New Roman"/>
          <w:sz w:val="28"/>
        </w:rPr>
        <w:t>№ 127-П «</w:t>
      </w:r>
      <w:r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в 2023 году субсидии государственному унитарному предприятию </w:t>
      </w:r>
      <w:r>
        <w:rPr>
          <w:rFonts w:ascii="Times New Roman" w:hAnsi="Times New Roman"/>
          <w:sz w:val="28"/>
        </w:rPr>
        <w:t>Камчатского края «Камчатфармация»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прекурсоров»;</w:t>
      </w:r>
    </w:p>
    <w:p w14:paraId="1B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102 приложения к Постановлению Правительства Камчатского края от 30.08.2023 № 464-П «О внесении изменений в отдельные постановления Правительства Камчатского края»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из краевого бюджета </w:t>
      </w:r>
      <w:r>
        <w:rPr>
          <w:rFonts w:ascii="Times New Roman" w:hAnsi="Times New Roman"/>
          <w:sz w:val="28"/>
        </w:rPr>
        <w:t>субсидии государственному унитарному предприятию Камчатского края «Камчатфармация»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</w:r>
    </w:p>
    <w:p w14:paraId="3A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стоящий Порядок регулирует вопросы предоставления из краевого бюджета субсидии государственному унитарному предприятию Камчатского края «Камчатфармация» (далее – получатель субсидии) на возмещение затрат, связанных с оказанием услуг по хра</w:t>
      </w:r>
      <w:r>
        <w:rPr>
          <w:rFonts w:ascii="Times New Roman" w:hAnsi="Times New Roman"/>
          <w:sz w:val="28"/>
        </w:rPr>
        <w:t xml:space="preserve">нению, реализации, распределению, приобретению наркотических средств, психотропных веществ и их прекурсоров (далее – субсидия), в связи с оказанием услуг в рамках реализации структурного элемента государственной программы Камчатского края </w:t>
      </w:r>
      <w:r>
        <w:rPr>
          <w:rFonts w:ascii="Times New Roman" w:hAnsi="Times New Roman"/>
          <w:sz w:val="28"/>
        </w:rPr>
        <w:t>«Развитие здравоохранения Камчатского края», утвержденной постановлением Правительства Камчатского края от 29.11.2013 № 524-П (далее – Программа)</w:t>
      </w:r>
      <w:r>
        <w:rPr>
          <w:rFonts w:ascii="Times New Roman" w:hAnsi="Times New Roman"/>
          <w:sz w:val="28"/>
        </w:rPr>
        <w:t>:</w:t>
      </w:r>
    </w:p>
    <w:p w14:paraId="3B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«Совершенствование системы лекарственного обеспечения, в том числе в амбулаторных усл</w:t>
      </w:r>
      <w:r>
        <w:rPr>
          <w:rFonts w:ascii="Times New Roman" w:hAnsi="Times New Roman"/>
          <w:sz w:val="28"/>
        </w:rPr>
        <w:t>овиях» (</w:t>
      </w:r>
      <w:r>
        <w:rPr>
          <w:rFonts w:ascii="Times New Roman" w:hAnsi="Times New Roman"/>
          <w:sz w:val="28"/>
        </w:rPr>
        <w:t>подпрограмма 8)</w:t>
      </w:r>
      <w:r>
        <w:rPr>
          <w:rFonts w:ascii="Times New Roman" w:hAnsi="Times New Roman"/>
          <w:sz w:val="28"/>
        </w:rPr>
        <w:t xml:space="preserve">. </w:t>
      </w:r>
    </w:p>
    <w:p w14:paraId="3C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D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здравоохранения Камчатского края (далее – Министерство), осуществляет функции главного</w:t>
      </w:r>
      <w:r>
        <w:rPr>
          <w:rFonts w:ascii="Times New Roman" w:hAnsi="Times New Roman"/>
          <w:sz w:val="28"/>
        </w:rPr>
        <w:t xml:space="preserve">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</w:t>
      </w:r>
      <w:r>
        <w:rPr>
          <w:rFonts w:ascii="Times New Roman" w:hAnsi="Times New Roman"/>
          <w:sz w:val="28"/>
        </w:rPr>
        <w:t xml:space="preserve">период. </w:t>
      </w:r>
    </w:p>
    <w:p w14:paraId="3E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предусмотренных законом Камчатского края о краевом бюджете на соответствующий финансовый год и плановый период, доведенных в установленном порядке до Министерства.</w:t>
      </w:r>
    </w:p>
    <w:p w14:paraId="3F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действия структурного элемента Программы, указанного в части 1 Порядка.</w:t>
      </w:r>
    </w:p>
    <w:p w14:paraId="40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возмещение затрат.</w:t>
      </w:r>
    </w:p>
    <w:p w14:paraId="41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</w:t>
      </w:r>
      <w:r>
        <w:rPr>
          <w:rFonts w:ascii="Times New Roman" w:hAnsi="Times New Roman"/>
          <w:sz w:val="28"/>
        </w:rPr>
        <w:t xml:space="preserve">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2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Получателем субсидии является </w:t>
      </w:r>
      <w:r>
        <w:rPr>
          <w:rFonts w:ascii="Times New Roman" w:hAnsi="Times New Roman"/>
          <w:sz w:val="28"/>
        </w:rPr>
        <w:t>государственное унитарное предприятие Камчатского края «Камчатфармация»</w:t>
      </w:r>
      <w:r>
        <w:rPr>
          <w:rFonts w:ascii="Times New Roman" w:hAnsi="Times New Roman"/>
          <w:sz w:val="28"/>
        </w:rPr>
        <w:t xml:space="preserve"> (далее – получатель субсидии)</w:t>
      </w:r>
    </w:p>
    <w:p w14:paraId="43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Субсидия предоставляется Министерством на возме</w:t>
      </w:r>
      <w:r>
        <w:rPr>
          <w:rFonts w:ascii="Times New Roman" w:hAnsi="Times New Roman"/>
          <w:sz w:val="28"/>
        </w:rPr>
        <w:t>щение следующих затрат, связанных с оказанием услуг по хранению, реализации, распределению, приобретению наркотических средств, психотропных веществ и их прекурсоров:</w:t>
      </w:r>
    </w:p>
    <w:p w14:paraId="4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оплату труда, начисления на выплаты по оплате труда и иные выплаты персоналу;</w:t>
      </w:r>
    </w:p>
    <w:p w14:paraId="4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п</w:t>
      </w:r>
      <w:r>
        <w:rPr>
          <w:rFonts w:ascii="Times New Roman" w:hAnsi="Times New Roman"/>
          <w:sz w:val="28"/>
        </w:rPr>
        <w:t>одготовку и переподготовку кадров;</w:t>
      </w:r>
    </w:p>
    <w:p w14:paraId="4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 проведение обязательных предварительных и периодических </w:t>
      </w:r>
      <w:r>
        <w:rPr>
          <w:rFonts w:ascii="Times New Roman" w:hAnsi="Times New Roman"/>
          <w:sz w:val="28"/>
        </w:rPr>
        <w:t>медицинских осмотров (обследований) работников;</w:t>
      </w:r>
    </w:p>
    <w:p w14:paraId="4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арендную плату за использование земельных участков;</w:t>
      </w:r>
    </w:p>
    <w:p w14:paraId="4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 оплату коммунальных услуг (водоснабжение, </w:t>
      </w:r>
      <w:r>
        <w:rPr>
          <w:rFonts w:ascii="Times New Roman" w:hAnsi="Times New Roman"/>
          <w:sz w:val="28"/>
        </w:rPr>
        <w:t>водоотведение, электроснабжение, теплоснабжение);</w:t>
      </w:r>
    </w:p>
    <w:p w14:paraId="4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оплату услуг по содержанию имущества;</w:t>
      </w:r>
    </w:p>
    <w:p w14:paraId="4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на охрану имущества;</w:t>
      </w:r>
    </w:p>
    <w:p w14:paraId="4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на оплату услуг по централизованному наблюдению (принятие (снятие) с охраны), по мобильному реагированию нарядами полиции, по техническому обслуживанию комплекса технических средс</w:t>
      </w:r>
      <w:r>
        <w:rPr>
          <w:rFonts w:ascii="Times New Roman" w:hAnsi="Times New Roman"/>
          <w:sz w:val="28"/>
        </w:rPr>
        <w:t>тв охраны и оборудования,</w:t>
      </w:r>
      <w:r>
        <w:rPr>
          <w:rFonts w:ascii="Times New Roman" w:hAnsi="Times New Roman"/>
          <w:b w:val="0"/>
          <w:color w:val="000000"/>
          <w:sz w:val="28"/>
        </w:rPr>
        <w:t xml:space="preserve"> техническому обслуживанию оборудования охранно-пожарной сигнализации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9) на оплату услуг по доставке, в том</w:t>
      </w:r>
      <w:r>
        <w:rPr>
          <w:rFonts w:ascii="Times New Roman" w:hAnsi="Times New Roman"/>
          <w:sz w:val="28"/>
        </w:rPr>
        <w:t xml:space="preserve"> числе специальной связью наркотических средств, психотропных веществ и их прекурсоров;</w:t>
      </w:r>
    </w:p>
    <w:p w14:paraId="4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возмещение затрат, связанных с эксплуатацией переданных в безвозмездное временное пользование нежилых помещений. </w:t>
      </w:r>
    </w:p>
    <w:p w14:paraId="4E000000">
      <w:pPr>
        <w:numPr>
          <w:ilvl w:val="0"/>
          <w:numId w:val="2"/>
        </w:num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Условием предоставления субси</w:t>
      </w:r>
      <w:r>
        <w:rPr>
          <w:rFonts w:ascii="Times New Roman" w:hAnsi="Times New Roman"/>
          <w:sz w:val="28"/>
        </w:rPr>
        <w:t xml:space="preserve">дии является </w:t>
      </w:r>
      <w:r>
        <w:rPr>
          <w:rFonts w:ascii="Times New Roman" w:hAnsi="Times New Roman"/>
          <w:sz w:val="28"/>
        </w:rPr>
        <w:t>соответствие получателя субсидии на первое число месяца, в котором подаются</w:t>
      </w:r>
      <w:r>
        <w:rPr>
          <w:rFonts w:ascii="Times New Roman" w:hAnsi="Times New Roman"/>
          <w:sz w:val="28"/>
        </w:rPr>
        <w:t xml:space="preserve"> указанные </w:t>
      </w:r>
      <w:r>
        <w:rPr>
          <w:rFonts w:ascii="Times New Roman" w:hAnsi="Times New Roman"/>
          <w:sz w:val="28"/>
        </w:rPr>
        <w:t>в части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 документы для получения субсидии, следующим требованиям:</w:t>
      </w:r>
    </w:p>
    <w:p w14:paraId="4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получатель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получатель субсидий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color w:val="000000"/>
          <w:sz w:val="28"/>
        </w:rPr>
        <w:t xml:space="preserve"> получатель субсидий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14.07.2022 № 255-ФЗ «О контроле за деятельностью лиц, находящихся под иностранным влиянием»;</w:t>
      </w:r>
    </w:p>
    <w:p w14:paraId="5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у получателя субсидий на едином налоговом счете отсутствует или не превышает размер, определе</w:t>
      </w:r>
      <w:r>
        <w:rPr>
          <w:rFonts w:ascii="Times New Roman" w:hAnsi="Times New Roman"/>
          <w:b w:val="0"/>
          <w:color w:val="000000"/>
          <w:sz w:val="28"/>
        </w:rPr>
        <w:t>нный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Налогово</w:t>
      </w:r>
      <w:r>
        <w:rPr>
          <w:rFonts w:ascii="Times New Roman" w:hAnsi="Times New Roman"/>
          <w:b w:val="0"/>
          <w:sz w:val="28"/>
        </w:rPr>
        <w:t>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у получателя субсидий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56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получатель субсидий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</w:t>
      </w:r>
    </w:p>
    <w:p w14:paraId="5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субсидий;</w:t>
      </w:r>
    </w:p>
    <w:p w14:paraId="5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10) </w:t>
      </w:r>
      <w:r>
        <w:rPr>
          <w:rFonts w:ascii="Times New Roman" w:hAnsi="Times New Roman"/>
          <w:b w:val="0"/>
          <w:sz w:val="28"/>
        </w:rPr>
        <w:t>получатель субсидии осуществляет деятельность, связанную с оборотом наркотических средств, психотропных веществ и их прекурсоров.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5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Для получения субсидии получатель субсидий представляет нарочно в Министерство заявку на предоставление субсидии в произвольной форме с указанием расчетного или корреспондентского счета получателя субсидий,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перечисляются субсидии, и следующие документы:</w:t>
      </w:r>
    </w:p>
    <w:p w14:paraId="5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копии</w:t>
      </w:r>
      <w:r>
        <w:rPr>
          <w:rFonts w:ascii="Times New Roman" w:hAnsi="Times New Roman"/>
          <w:b w:val="0"/>
          <w:sz w:val="28"/>
        </w:rPr>
        <w:t xml:space="preserve"> учредительных документов получателя субсидий с одновременным представлением подлинников для сверки;</w:t>
      </w:r>
    </w:p>
    <w:p w14:paraId="5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справку, подписанную руководителем получателя субсидий, подтверждающую соответствие получателя субсидий требованиям, установленным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Порядка;</w:t>
      </w:r>
    </w:p>
    <w:p w14:paraId="5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план мероприятий на финансовый год с указанием сроков проведения мероприятий и размера средств, необходимых для их реализации, </w:t>
      </w:r>
      <w:r>
        <w:rPr>
          <w:rFonts w:ascii="Times New Roman" w:hAnsi="Times New Roman"/>
          <w:b w:val="0"/>
          <w:sz w:val="28"/>
        </w:rPr>
        <w:t>с приложением финансово-экономического обоснования расходов на организацию и проведение мероприятий (далее - План мероприятий);</w:t>
      </w:r>
    </w:p>
    <w:p w14:paraId="5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копию лицензии на осуществление деятельности по обороту наркотических средств, психотропных веществ и их прекурсоров;</w:t>
      </w:r>
    </w:p>
    <w:p w14:paraId="5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годовую бухгалтерскую (финансовую) отчетность (бухгалтерский баланс,</w:t>
      </w:r>
      <w:r>
        <w:rPr>
          <w:rFonts w:ascii="Times New Roman" w:hAnsi="Times New Roman"/>
          <w:color w:val="000000"/>
          <w:sz w:val="28"/>
        </w:rPr>
        <w:t xml:space="preserve"> отчет о финансовых результатах, приложения к ним, пояснительная записка) за год, предшествующий году заключения </w:t>
      </w:r>
      <w:r>
        <w:rPr>
          <w:rFonts w:ascii="Times New Roman" w:hAnsi="Times New Roman"/>
          <w:b w:val="0"/>
          <w:color w:val="000000"/>
          <w:sz w:val="28"/>
        </w:rPr>
        <w:t xml:space="preserve"> соглашения о предоставлении субсидии (далее - Соглашение)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5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тчет о </w:t>
      </w:r>
      <w:r>
        <w:rPr>
          <w:rFonts w:ascii="Times New Roman" w:hAnsi="Times New Roman"/>
          <w:sz w:val="28"/>
        </w:rPr>
        <w:t xml:space="preserve">фактически произведенных затратах по направлениям затрат, указанных </w:t>
      </w:r>
      <w:r>
        <w:rPr>
          <w:rFonts w:ascii="Times New Roman" w:hAnsi="Times New Roman"/>
          <w:sz w:val="28"/>
        </w:rPr>
        <w:t>в части 6 н</w:t>
      </w:r>
      <w:r>
        <w:rPr>
          <w:rFonts w:ascii="Times New Roman" w:hAnsi="Times New Roman"/>
          <w:sz w:val="28"/>
        </w:rPr>
        <w:t xml:space="preserve">астоящего Порядка, и информацию о размере субсидии </w:t>
      </w:r>
      <w:r>
        <w:rPr>
          <w:rFonts w:ascii="Times New Roman" w:hAnsi="Times New Roman"/>
          <w:sz w:val="28"/>
        </w:rPr>
        <w:t>в целях возмещения затрат, связанных с оказанием услуг по хранению, реализации, распределению, приобретению наркотических сред</w:t>
      </w:r>
      <w:r>
        <w:rPr>
          <w:rFonts w:ascii="Times New Roman" w:hAnsi="Times New Roman"/>
          <w:sz w:val="28"/>
        </w:rPr>
        <w:t>ств, психотропных веществ и их прекурсоров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z w:val="28"/>
        </w:rPr>
        <w:t xml:space="preserve"> согласно приложению к настоящему Порядку;</w:t>
      </w:r>
    </w:p>
    <w:p w14:paraId="6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копии документов, подтверждающих фактически произведенные затраты (расходно-кассовые ордеры, платежные поручения, расчетно-платежные вед</w:t>
      </w:r>
      <w:r>
        <w:rPr>
          <w:rFonts w:ascii="Times New Roman" w:hAnsi="Times New Roman"/>
          <w:sz w:val="28"/>
        </w:rPr>
        <w:t>омости, контракты (договоры), счета, счета-фактуры, универсальные передаточные документы, акты выполненных работ, тов</w:t>
      </w:r>
      <w:r>
        <w:rPr>
          <w:rFonts w:ascii="Times New Roman" w:hAnsi="Times New Roman"/>
          <w:sz w:val="28"/>
        </w:rPr>
        <w:t>арные накладные, накладные), заверенные печатью и подписью руководителя получателя субсидии;</w:t>
      </w:r>
    </w:p>
    <w:p w14:paraId="6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Все представленные получателем субсидий в Министерство документы подлежат регистрации в день их поступления.</w:t>
      </w:r>
    </w:p>
    <w:p w14:paraId="6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10. </w:t>
      </w:r>
      <w:r>
        <w:rPr>
          <w:rFonts w:ascii="Times New Roman" w:hAnsi="Times New Roman"/>
          <w:b w:val="0"/>
          <w:color w:val="000000"/>
          <w:sz w:val="28"/>
        </w:rPr>
        <w:t>Министерство в течение 10 рабочих дней со дня получения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рассматривает их, получает в отношении получателя субсидий сведения и осуществляет проверку полноты и достоверности содержащихся в документах сведений получателя субсидий на соответствие указанным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требованиям:</w:t>
      </w:r>
    </w:p>
    <w:p w14:paraId="6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пунктами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8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6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2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5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Министерс</w:t>
      </w:r>
      <w:r>
        <w:rPr>
          <w:rFonts w:ascii="Times New Roman" w:hAnsi="Times New Roman"/>
          <w:b w:val="0"/>
          <w:sz w:val="28"/>
        </w:rPr>
        <w:t>тва юстиции Российской Федерации на странице «Реестр иностранных агентов»;</w:t>
      </w:r>
    </w:p>
    <w:p w14:paraId="6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6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6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7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9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6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Министерство в течение 10 рабочих дней со дня регистрации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принимает решение о предоставлении субсидии или об отказе в предоставлении субсидии.</w:t>
      </w:r>
    </w:p>
    <w:p w14:paraId="6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Основаниями для отказа в предоставлении субсидии являются:</w:t>
      </w:r>
    </w:p>
    <w:p w14:paraId="6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</w:rPr>
        <w:t>несоответствие представленных получателем субсидий документов требованиям, определенным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или непредставление (представление не в полном объеме) указанных документов;</w:t>
      </w:r>
    </w:p>
    <w:p w14:paraId="6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установление факта недостоверности, представленной получателем субсидий информации, в том числе информации о месте нахождения и адресе юридического лица;</w:t>
      </w:r>
    </w:p>
    <w:p w14:paraId="6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</w:rPr>
        <w:t>несоответствие получателя субсидий условию предоставления субсидий, установленному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Порядка.</w:t>
      </w:r>
    </w:p>
    <w:p w14:paraId="7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В случае отказа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субсидий.</w:t>
      </w:r>
    </w:p>
    <w:p w14:paraId="7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Субсидии предоставляются на основании Соглашения,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7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Министерство в течение 3 рабочих дней со дня принятия решения о предоставлении субсидии подготавливает два экземпляра Соглашения в письменной форме, подписывает их и направляет получателю субсидий письменное уведомление (посредством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субсидий) о необходимости явиться в Министерство.</w:t>
      </w:r>
    </w:p>
    <w:p w14:paraId="7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2 рабочих дней со дня получения письменного уведомления подписывает два экземпляра Соглашения по месту нахождения Министерства.</w:t>
      </w:r>
    </w:p>
    <w:p w14:paraId="7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Один экземпляр подписанного Соглашения хранится в Министерстве, второй - у получателя субсидий.</w:t>
      </w:r>
    </w:p>
    <w:p w14:paraId="7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неподписании получателем субсидий Соглашения в течение 2 рабочих дней со дня получения письменного уведомления получатель субсидий признается уклонившимся от заключения Соглашения.</w:t>
      </w:r>
    </w:p>
    <w:p w14:paraId="7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Обязательными условиями предоставления субсидий, включаемыми в Соглашение, являются:</w:t>
      </w:r>
    </w:p>
    <w:p w14:paraId="7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) согласие получателя субсидий на осуществление в отношении его проверки Министерством соблюдения порядка и условий предоставления субсидии,</w:t>
      </w:r>
      <w:r>
        <w:rPr>
          <w:rFonts w:ascii="Times New Roman" w:hAnsi="Times New Roman"/>
          <w:b w:val="0"/>
          <w:color w:val="000000"/>
          <w:sz w:val="28"/>
        </w:rPr>
        <w:t xml:space="preserve">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Бюджетного код</w:t>
      </w:r>
      <w:r>
        <w:rPr>
          <w:rFonts w:ascii="Times New Roman" w:hAnsi="Times New Roman"/>
          <w:b w:val="0"/>
          <w:sz w:val="28"/>
        </w:rPr>
        <w:t>екса Российской Федерации и на включение таких положений в Соглашение;</w:t>
      </w:r>
    </w:p>
    <w:p w14:paraId="7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запрет приобретения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7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7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Размер субсидии для достижения результатов предоставления субсидии </w:t>
      </w:r>
      <w:r>
        <w:rPr>
          <w:rFonts w:ascii="Times New Roman" w:hAnsi="Times New Roman"/>
          <w:b w:val="0"/>
          <w:color w:val="000000"/>
          <w:sz w:val="28"/>
        </w:rPr>
        <w:t>в рамках результатов структурного элемента Программы, указанного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определен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 от 23.11.2023 № 300 «О краевом бюджете на 2024 год и на плановый период 2025 и 2026 годов» (в 2024 году – 7 625,16 тыс. рублей, в 2025 году - </w:t>
      </w:r>
      <w:r>
        <w:rPr>
          <w:rFonts w:ascii="Times New Roman" w:hAnsi="Times New Roman"/>
          <w:b w:val="0"/>
          <w:color w:val="000000"/>
          <w:sz w:val="28"/>
        </w:rPr>
        <w:t>7 625,16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рублей, в 2026 году </w:t>
      </w: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7 625,16</w:t>
      </w:r>
      <w:r>
        <w:rPr>
          <w:rFonts w:ascii="Times New Roman" w:hAnsi="Times New Roman"/>
          <w:b w:val="0"/>
          <w:sz w:val="28"/>
        </w:rPr>
        <w:t xml:space="preserve"> тыс. рублей).</w:t>
      </w:r>
    </w:p>
    <w:p w14:paraId="7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</w:rPr>
        <w:t>19. Перечисление субсидии осуществляется в пределах кассового плана по расходам краевого бюджета.</w:t>
      </w:r>
    </w:p>
    <w:p w14:paraId="7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7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Ежегодно по состоянию на 31 декабря текущего года результатами предоставления субсидий являются:</w:t>
      </w:r>
    </w:p>
    <w:p w14:paraId="80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для </w:t>
      </w:r>
      <w:r>
        <w:rPr>
          <w:rFonts w:ascii="Times New Roman" w:hAnsi="Times New Roman"/>
          <w:sz w:val="28"/>
        </w:rPr>
        <w:t>мероприятия (результата) «</w:t>
      </w:r>
      <w:r>
        <w:rPr>
          <w:rFonts w:ascii="Times New Roman" w:hAnsi="Times New Roman"/>
          <w:sz w:val="28"/>
        </w:rPr>
        <w:t>Количество государственных учреждений здравоохранения Камчатского края о</w:t>
      </w:r>
      <w:r>
        <w:rPr>
          <w:rFonts w:ascii="Times New Roman" w:hAnsi="Times New Roman"/>
          <w:sz w:val="28"/>
        </w:rPr>
        <w:t xml:space="preserve">беспеченных наркотическими средствами, психотропными веществами и их </w:t>
      </w:r>
      <w:r>
        <w:rPr>
          <w:rFonts w:ascii="Times New Roman" w:hAnsi="Times New Roman"/>
          <w:sz w:val="28"/>
        </w:rPr>
        <w:t>прекурсорами</w:t>
      </w:r>
      <w:r>
        <w:rPr>
          <w:rFonts w:ascii="Times New Roman" w:hAnsi="Times New Roman"/>
          <w:sz w:val="28"/>
        </w:rPr>
        <w:t xml:space="preserve"> с целью применения их при подготовке пациентов к операциям и во время их проведения, а также для поддержания жизни и здоровья пациентов» - к</w:t>
      </w:r>
      <w:r>
        <w:rPr>
          <w:rFonts w:ascii="Times New Roman" w:hAnsi="Times New Roman"/>
          <w:sz w:val="28"/>
        </w:rPr>
        <w:t>оличество государственных учреждений здравоохранения Камчатского края;</w:t>
      </w:r>
    </w:p>
    <w:p w14:paraId="8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для мероприятия (результата) «</w:t>
      </w:r>
      <w:r>
        <w:rPr>
          <w:rFonts w:ascii="Times New Roman" w:hAnsi="Times New Roman"/>
          <w:sz w:val="28"/>
          <w:highlight w:val="white"/>
        </w:rPr>
        <w:t xml:space="preserve">Количество обслуженных рецептов на получение наркотических средств, психотропных веществ и их </w:t>
      </w:r>
      <w:r>
        <w:rPr>
          <w:rFonts w:ascii="Times New Roman" w:hAnsi="Times New Roman"/>
          <w:sz w:val="28"/>
          <w:highlight w:val="white"/>
        </w:rPr>
        <w:t>прекурсоров</w:t>
      </w:r>
      <w:r>
        <w:rPr>
          <w:rFonts w:ascii="Times New Roman" w:hAnsi="Times New Roman"/>
          <w:sz w:val="28"/>
          <w:highlight w:val="white"/>
        </w:rPr>
        <w:t xml:space="preserve">, выписанных врачами учреждений здравоохранения» </w:t>
      </w:r>
      <w:r>
        <w:rPr>
          <w:rFonts w:ascii="Times New Roman" w:hAnsi="Times New Roman"/>
          <w:b w:val="0"/>
          <w:sz w:val="28"/>
        </w:rPr>
        <w:t xml:space="preserve"> - количество обслуженных рецептов.</w:t>
      </w:r>
    </w:p>
    <w:p w14:paraId="8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Значения результатов предоставления субсидий устанавливаются Соглашением.</w:t>
      </w:r>
    </w:p>
    <w:p w14:paraId="8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Получатель субсидий ежеквартально не позднее 10-го числа месяца, следующего за отчетным кварталом, в котором была получена субсидия, предоставляет в Министерство отчеты по формам, определенным типовыми формами соглашений, установленным Министерством финансов Камчатского края: отчет о достижении значений результатов предоставления субсидии; отчет о реализации плана мероприятий по достижению результатов предоставления субсидии (контрольных точек).</w:t>
      </w:r>
    </w:p>
    <w:p w14:paraId="8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8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10 рабочих дней со дня регистрации отчетов, рассматривает их, проверяет полноту и достоверность содержащихся в отчетах сведений и принимает их.</w:t>
      </w:r>
    </w:p>
    <w:p w14:paraId="8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Министерство в течение 3 рабочих дней со дня принятия отчетов,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направляет получателю субсидий сведения о принятии отчетов по форме и в порядке, определенным Соглашением.</w:t>
      </w:r>
    </w:p>
    <w:p w14:paraId="8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24. Мониторинг достижения результатов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14:paraId="8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Министерство осуществляет проверки соблюдения получателем субсидии</w:t>
      </w:r>
      <w:r>
        <w:rPr>
          <w:rFonts w:ascii="Times New Roman" w:hAnsi="Times New Roman"/>
          <w:b w:val="0"/>
          <w:color w:val="000000"/>
          <w:sz w:val="28"/>
        </w:rPr>
        <w:t xml:space="preserve"> в целях исполнения обязательств по Соглашению, условий и порядка предоставления субсидий, в том числе в части достижения результатов предоставления субсидии,</w:t>
      </w:r>
      <w:r>
        <w:rPr>
          <w:rFonts w:ascii="Times New Roman" w:hAnsi="Times New Roman"/>
          <w:b w:val="0"/>
          <w:color w:val="000000"/>
          <w:sz w:val="28"/>
        </w:rPr>
        <w:t xml:space="preserve"> а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Бюджетного кодекса Российской Федерации.</w:t>
      </w: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 В случае выявления нарушений, в том числе по фактам проверок,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</w:t>
      </w: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14:paraId="8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Получатель субсидий обязан возвратить средства субсидии в следующих размерах:</w:t>
      </w:r>
    </w:p>
    <w:p w14:paraId="8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14:paraId="8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случае нарушения условий и порядка предоставления субсидии - в полном объеме;</w:t>
      </w:r>
    </w:p>
    <w:p w14:paraId="8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в случае, если по состоянию на 31 декабря года предоставления субсидии допущен факт недостижения значений результатов, установленных в Соглашении, субсидия подлежит возврату в краевой бюджет на лицевой счет Министерства - в размере, пропорциональном уровню недостижения результатов предоставления субсидии.</w:t>
      </w:r>
    </w:p>
    <w:p w14:paraId="9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Письменное требование о возврате средств субсидии направляется Министерством получателю субсидий в течение 15 рабочих дней со дня выявления нарушений по фактам проверок, проведенных Министерством.</w:t>
      </w:r>
    </w:p>
    <w:p w14:paraId="9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b w:val="0"/>
          <w:color w:val="000000"/>
          <w:sz w:val="28"/>
        </w:rPr>
        <w:t>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2</w:t>
      </w:r>
      <w:r>
        <w:rPr>
          <w:rFonts w:ascii="Times New Roman" w:hAnsi="Times New Roman"/>
          <w:b w:val="0"/>
          <w:color w:val="000000"/>
          <w:sz w:val="28"/>
        </w:rPr>
        <w:t xml:space="preserve">6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субсидий обязанности возвратить средства субсидии в краевой бюджет.</w:t>
      </w:r>
    </w:p>
    <w:p w14:paraId="9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30. </w:t>
      </w:r>
      <w:r>
        <w:rPr>
          <w:rFonts w:ascii="Times New Roman" w:hAnsi="Times New Roman"/>
          <w:b w:val="0"/>
          <w:color w:val="000000"/>
          <w:sz w:val="28"/>
        </w:rPr>
        <w:t>В случае выявления нарушений, в том числе по фактам проверок,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лица, получившие средства на основании договоров, заключенных с получателем субсидий,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средства, полученные за счет средств субсидии, на счет получателя субсидий в целях последующего возврата указанных средств получателем субсидий в краевой бюджет в срок не позднее 10 рабочих дней со дня поступления денежных средств на его счет.</w:t>
      </w:r>
    </w:p>
    <w:p w14:paraId="9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31.</w:t>
      </w:r>
      <w:r>
        <w:rPr>
          <w:rFonts w:ascii="Times New Roman" w:hAnsi="Times New Roman"/>
          <w:b w:val="0"/>
          <w:color w:val="000000"/>
          <w:sz w:val="28"/>
        </w:rPr>
        <w:t xml:space="preserve"> 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</w:t>
      </w:r>
      <w:r>
        <w:rPr>
          <w:rFonts w:ascii="Times New Roman" w:hAnsi="Times New Roman"/>
          <w:b w:val="0"/>
          <w:color w:val="000000"/>
          <w:sz w:val="28"/>
        </w:rPr>
        <w:t xml:space="preserve">0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средств, полученных за счет средств субсидии, на счет получателя субсидий в сроки, указанные в требовании о возврате средств, полученных за счет средств субсидии, получатель субсидий,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субсидий стало известно о неисполнении лицами, указанными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обязанности возвратить средства, полученные за счет средств субсидии, на счет получателя субсидий.</w:t>
      </w:r>
    </w:p>
    <w:p w14:paraId="94000000">
      <w:pPr>
        <w:spacing w:after="0" w:before="0" w:line="240" w:lineRule="auto"/>
        <w:ind w:firstLine="540" w:left="0" w:right="0"/>
        <w:jc w:val="both"/>
        <w:rPr>
          <w:b w:val="0"/>
        </w:rPr>
      </w:pPr>
      <w:r>
        <w:rPr>
          <w:b w:val="0"/>
        </w:rPr>
        <w:t> </w:t>
      </w:r>
    </w:p>
    <w:p w14:paraId="95000000">
      <w:pPr>
        <w:spacing w:after="0" w:before="0" w:line="240" w:lineRule="auto"/>
        <w:ind w:firstLine="540" w:left="0" w:right="0"/>
        <w:jc w:val="both"/>
        <w:rPr>
          <w:b w:val="0"/>
        </w:rPr>
      </w:pPr>
      <w:r>
        <w:rPr>
          <w:b w:val="0"/>
        </w:rPr>
        <w:t> </w:t>
      </w:r>
    </w:p>
    <w:p w14:paraId="96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7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8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9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A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B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C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2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3_ch"/>
    <w:link w:val="Style_25"/>
    <w:rPr>
      <w:color w:themeColor="hyperlink" w:val="0563C1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3_ch"/>
    <w:link w:val="Style_30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2024-01-29T23:38:35Z</dcterms:modified>
</cp:coreProperties>
</file>