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sz w:val="28"/>
        </w:rPr>
      </w:pPr>
      <w:r>
        <w:rPr/>
      </w:r>
    </w:p>
    <w:p>
      <w:pPr>
        <w:pStyle w:val="Normal"/>
        <w:spacing w:lineRule="auto" w:line="240"/>
        <w:jc w:val="center"/>
        <w:rPr>
          <w:sz w:val="28"/>
        </w:rPr>
      </w:pPr>
      <w:r>
        <w:rPr>
          <w:sz w:val="28"/>
        </w:rPr>
        <w:t>Предложения</w:t>
      </w:r>
      <w:r>
        <w:rPr/>
        <w:br/>
        <w:t xml:space="preserve">по внесению вопросов для обсуждения </w:t>
      </w:r>
      <w:r>
        <w:rPr>
          <w:sz w:val="28"/>
        </w:rPr>
        <w:t>в план-график</w:t>
        <w:br/>
        <w:t>Инвестиционного комитета Камчатского края</w:t>
      </w:r>
    </w:p>
    <w:p>
      <w:pPr>
        <w:pStyle w:val="Normal"/>
        <w:spacing w:lineRule="auto" w:line="240"/>
        <w:jc w:val="center"/>
        <w:rPr>
          <w:sz w:val="28"/>
        </w:rPr>
      </w:pPr>
      <w:r>
        <w:rPr>
          <w:sz w:val="28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6"/>
        <w:gridCol w:w="5673"/>
        <w:gridCol w:w="3746"/>
      </w:tblGrid>
      <w:tr>
        <w:trPr>
          <w:tblHeader w:val="true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170" w:right="17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 повестки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предложения</w:t>
            </w:r>
          </w:p>
        </w:tc>
      </w:tr>
      <w:tr>
        <w:trPr>
          <w:tblHeader w:val="true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170" w:right="170" w:hanging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Февраль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организации работы с ресурсоснабжающими организациями Камчатского края и заключении соглашений об информационном сопровождении в рамках РИС 2.0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необходимости актуализации алгоритмов действий инвестора в рамках реализации элемента Регионального инвестиционного стандарта по внедрению Свода инвестиционных правил в Камчатском крае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454" w:right="17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Апрель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подготовке предложений о внесении изменений в Положение о подготовке и утверждении перечня приоритетных инвестиционных проектов в области освоения лесов, утвержденное Постановлением Правительства Российской Федерации 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туризма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реализации паспортов проектов, направленных на улучшение показателей Национального рейтинга состояния инвестиционного климата в Камчатском крае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результатах деятельности агентства развития Камчатского края (АО «Корпорация развития Камчатского края») в 2023 году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454" w:right="17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Июнь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внедрении практики по системному информированию бизнеса в рамках Регионального инвестиционного стандарта 2.0. (далее - РИС 2.0) и формированию механизма обратной связи в 2024 году 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инвестиционных профилей муниципальных образований в Камчатском крае в рамках внедрения системы поддержки новых инвестиционных проектов РИС 2.0 (сопровождение инвестиционных проектов муниципальными образованиями)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114" w:right="170" w:hanging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Август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результатах Национального состояния инвестиционного климата в Камчатском крае по итогам ПМЭФ-2024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совершенствования элементов РИС 2.0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разработке Плана мероприятий, направленного на улучшение показателей Национального рейтинга состояния инвестиционного климата в Камчатском крае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454" w:right="17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Октябрь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механизме заключения соглашений о защите и поощрении капиталовложений в отношении инвестиционных проектов, реализуемых (планируемых к реализации) на территории Камчатского края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анализе действующего законодательства на предмет наличия в них положений, создающих препятствия для реализации инвестиционных проектов, и подготовке предложений по их совершенствованию 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102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0"/>
              </w:numPr>
              <w:suppressLineNumbers/>
              <w:bidi w:val="0"/>
              <w:spacing w:lineRule="auto" w:line="240" w:before="0" w:after="0"/>
              <w:ind w:left="114" w:right="170" w:hanging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Декабрь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инвестиционных проектах, предлагаемых к реализации на территории Камчатского края (формирование перечня инвестиционных площадок Камчатского края)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реализации положений Инвестиционной декларации Камчатского края и о возможности внесения изменений в предстоящему году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  <w:tr>
        <w:trPr/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widowControl w:val="false"/>
              <w:numPr>
                <w:ilvl w:val="0"/>
                <w:numId w:val="1"/>
              </w:numPr>
              <w:suppressLineNumbers/>
              <w:bidi w:val="0"/>
              <w:spacing w:lineRule="auto" w:line="240" w:before="0" w:after="0"/>
              <w:ind w:left="454" w:right="170" w:hanging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формировании плана-графика и перечня вопросов повестки заседаний Инвестиционного комитета Камчатского края в 2025 году</w:t>
            </w:r>
          </w:p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Камчатского края</w:t>
            </w:r>
          </w:p>
        </w:tc>
      </w:tr>
    </w:tbl>
    <w:p>
      <w:pPr>
        <w:pStyle w:val="Normal"/>
        <w:spacing w:lineRule="auto" w:line="240"/>
        <w:jc w:val="center"/>
        <w:rPr>
          <w:sz w:val="28"/>
        </w:rPr>
      </w:pPr>
      <w:r>
        <w:rPr/>
      </w:r>
    </w:p>
    <w:sectPr>
      <w:type w:val="nextPage"/>
      <w:pgSz w:w="11906" w:h="16838"/>
      <w:pgMar w:left="1134" w:right="567" w:gutter="0" w:header="0" w:top="968" w:footer="0" w:bottom="89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Normal"/>
    <w:next w:val="Normal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Normal"/>
    <w:next w:val="Normal"/>
    <w:uiPriority w:val="9"/>
    <w:qFormat/>
    <w:pPr>
      <w:keepNext w:val="true"/>
      <w:widowControl w:val="false"/>
      <w:jc w:val="center"/>
      <w:outlineLvl w:val="2"/>
    </w:pPr>
    <w:rPr/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Style9">
    <w:name w:val="Знак Знак Знак Знак"/>
    <w:link w:val="Style21"/>
    <w:qFormat/>
    <w:rPr>
      <w:rFonts w:ascii="Verdana" w:hAnsi="Verdana"/>
      <w:sz w:val="20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Heading3">
    <w:name w:val="Heading 3"/>
    <w:qFormat/>
    <w:rPr/>
  </w:style>
  <w:style w:type="character" w:styleId="21">
    <w:name w:val="Гиперссылка2"/>
    <w:link w:val="24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Textbody">
    <w:name w:val="Text body"/>
    <w:link w:val="Textbody1"/>
    <w:qFormat/>
    <w:rPr/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Style10">
    <w:name w:val="Заголовок"/>
    <w:link w:val="Style16"/>
    <w:qFormat/>
    <w:rPr>
      <w:rFonts w:ascii="Liberation Sans" w:hAnsi="Liberation Sans"/>
      <w:sz w:val="28"/>
    </w:rPr>
  </w:style>
  <w:style w:type="character" w:styleId="Style11">
    <w:name w:val="Знак"/>
    <w:link w:val="Style22"/>
    <w:qFormat/>
    <w:rPr>
      <w:rFonts w:ascii="Verdana" w:hAnsi="Verdana"/>
      <w:sz w:val="20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Heading1">
    <w:name w:val="Heading 1"/>
    <w:qFormat/>
    <w:rPr>
      <w:rFonts w:ascii="Calibri Light" w:hAnsi="Calibri Light"/>
      <w:b/>
      <w:sz w:val="32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Style12">
    <w:name w:val="Содержимое врезки"/>
    <w:link w:val="Style24"/>
    <w:qFormat/>
    <w:rPr/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Footer">
    <w:name w:val="Footer"/>
    <w:qFormat/>
    <w:rPr/>
  </w:style>
  <w:style w:type="character" w:styleId="11">
    <w:name w:val="Обычный1"/>
    <w:link w:val="14"/>
    <w:qFormat/>
    <w:rPr>
      <w:rFonts w:ascii="Times New Roman" w:hAnsi="Times New Roman"/>
      <w:color w:val="000000"/>
      <w:spacing w:val="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ing2">
    <w:name w:val="Heading 2"/>
    <w:qFormat/>
    <w:rPr>
      <w:rFonts w:ascii="Calibri Light" w:hAnsi="Calibri Light"/>
      <w:b/>
      <w:i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2">
    <w:name w:val="Основной шрифт абзаца2"/>
    <w:link w:val="25"/>
    <w:qFormat/>
    <w:rPr>
      <w:rFonts w:ascii="Times New Roman" w:hAnsi="Times New Roman"/>
      <w:color w:val="000000"/>
      <w:spacing w:val="0"/>
      <w:sz w:val="20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2">
    <w:name w:val="Гиперссылка1"/>
    <w:link w:val="16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13">
    <w:name w:val="Основной шрифт абзаца1"/>
    <w:link w:val="17"/>
    <w:qFormat/>
    <w:rPr>
      <w:rFonts w:ascii="Times New Roman" w:hAnsi="Times New Roman"/>
      <w:color w:val="000000"/>
      <w:spacing w:val="0"/>
      <w:sz w:val="20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tents9">
    <w:name w:val="Contents 9"/>
    <w:link w:val="Contents91"/>
    <w:qFormat/>
    <w:rPr>
      <w:rFonts w:ascii="XO Thames" w:hAnsi="XO Thames"/>
      <w:sz w:val="28"/>
    </w:rPr>
  </w:style>
  <w:style w:type="character" w:styleId="Header">
    <w:name w:val="Header"/>
    <w:qFormat/>
    <w:rPr/>
  </w:style>
  <w:style w:type="character" w:styleId="ConsPlusNormal">
    <w:name w:val="ConsPlusNormal"/>
    <w:link w:val="ConsPlusNormal1"/>
    <w:qFormat/>
    <w:rPr>
      <w:rFonts w:ascii="Calibri" w:hAnsi="Calibri"/>
      <w:color w:val="000000"/>
      <w:spacing w:val="0"/>
      <w:sz w:val="22"/>
    </w:rPr>
  </w:style>
  <w:style w:type="character" w:styleId="List">
    <w:name w:val="List"/>
    <w:basedOn w:val="Textbody"/>
    <w:qFormat/>
    <w:rPr/>
  </w:style>
  <w:style w:type="character" w:styleId="Style13">
    <w:name w:val="Колонтитул"/>
    <w:link w:val="Style25"/>
    <w:qFormat/>
    <w:rPr>
      <w:rFonts w:ascii="XO Thames" w:hAnsi="XO Thames"/>
      <w:color w:val="000000"/>
      <w:spacing w:val="0"/>
      <w:sz w:val="20"/>
    </w:rPr>
  </w:style>
  <w:style w:type="character" w:styleId="Caption">
    <w:name w:val="Caption"/>
    <w:qFormat/>
    <w:rPr>
      <w:i/>
      <w:sz w:val="24"/>
    </w:rPr>
  </w:style>
  <w:style w:type="character" w:styleId="Style14">
    <w:name w:val="Указатель"/>
    <w:link w:val="Style20"/>
    <w:qFormat/>
    <w:rPr/>
  </w:style>
  <w:style w:type="character" w:styleId="Style15">
    <w:name w:val="Символ нумерации"/>
    <w:qFormat/>
    <w:rPr>
      <w:sz w:val="24"/>
      <w:szCs w:val="24"/>
    </w:rPr>
  </w:style>
  <w:style w:type="paragraph" w:styleId="Style16">
    <w:name w:val="Заголовок"/>
    <w:basedOn w:val="Normal"/>
    <w:next w:val="Style17"/>
    <w:link w:val="Style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widowControl w:val="false"/>
      <w:jc w:val="both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14"/>
    <w:qFormat/>
    <w:pPr/>
    <w:rPr/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Знак Знак Знак Знак"/>
    <w:basedOn w:val="Normal"/>
    <w:link w:val="Style9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23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Гиперссылка2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Знак"/>
    <w:basedOn w:val="Normal"/>
    <w:link w:val="Style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Style23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Содержимое врезки"/>
    <w:basedOn w:val="Normal"/>
    <w:link w:val="Style12"/>
    <w:qFormat/>
    <w:pPr/>
    <w:rPr/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Колонтитул"/>
    <w:link w:val="Style13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Обычный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5">
    <w:name w:val="Основной шрифт абзаца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5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Гиперссылка1"/>
    <w:link w:val="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7">
    <w:name w:val="Основной шрифт абзаца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8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table" w:styleId="Style_61">
    <w:name w:val="Table Grid"/>
    <w:basedOn w:val="Style_62"/>
    <w:rPr>
      <w:sz w:val="22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6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LibreOffice/7.5.3.2$Windows_X86_64 LibreOffice_project/9f56dff12ba03b9acd7730a5a481eea045e468f3</Application>
  <AppVersion>15.0000</AppVersion>
  <Pages>2</Pages>
  <Words>397</Words>
  <Characters>3026</Characters>
  <CharactersWithSpaces>3367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2023-12-08T10:03:40Z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