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20" w:left="0"/>
        <w:jc w:val="both"/>
        <w:rPr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Акт № 2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результатах плановой камеральной проверки финансово-хозяйственной деятельности КГАУ «Камчатский центр охраны труда», в части организации расчетов с поставщиками и подрядчиками за 2023 год</w:t>
      </w:r>
    </w:p>
    <w:p w14:paraId="06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  </w:t>
      </w:r>
    </w:p>
    <w:p w14:paraId="07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bookmarkStart w:id="1" w:name="_GoBack"/>
      <w:bookmarkEnd w:id="1"/>
      <w:r>
        <w:rPr>
          <w:sz w:val="28"/>
        </w:rPr>
        <w:t xml:space="preserve">.05.2024                                                                          г. Петропавловск-Камчатский   </w:t>
      </w:r>
    </w:p>
    <w:p w14:paraId="09000000">
      <w:pPr>
        <w:ind w:firstLine="708" w:left="6372"/>
        <w:jc w:val="both"/>
        <w:rPr>
          <w:sz w:val="28"/>
        </w:rPr>
      </w:pPr>
    </w:p>
    <w:p w14:paraId="0A000000">
      <w:pPr>
        <w:ind w:firstLine="708" w:left="6372"/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b w:val="1"/>
          <w:sz w:val="28"/>
        </w:rPr>
        <w:t xml:space="preserve">    </w:t>
      </w:r>
    </w:p>
    <w:p w14:paraId="0C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 основании плана контрольных мероприятий, утвержденного приказом от 05.12.2023 № 323 «Об утверждении Плана контрольных мероприятий на 2024 год краевых государственных учреждений, подведомственных Министерству труда и развития кадрового потенциала Камчатского края» Министерством труда и развития кадрового потенциала Камчатского края (далее – Министерство), проведена плановая  проверка краевого государственного автономного учреждения «Камчатского центра охраны труда» (далее –  Учреждение) по вопросу финансово-хозяйственной деятельности, ведения и организации бухгалтерского  учета и отчетности в части организации расчетов с поставщиками и подрядчиками за 2023 год в Учреждении.</w:t>
      </w:r>
    </w:p>
    <w:p w14:paraId="0D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Проверка проводилась с 02.05.2024 по 1</w:t>
      </w:r>
      <w:r>
        <w:rPr>
          <w:sz w:val="28"/>
        </w:rPr>
        <w:t>6</w:t>
      </w:r>
      <w:r>
        <w:rPr>
          <w:sz w:val="28"/>
        </w:rPr>
        <w:t xml:space="preserve">.05.2024 года (Приказ Министерства от 12.04.2024 № 80 «О проведении плановой камеральной проверки в отношении Краевого государственного автономного учреждения «Камчатский центр охраны труда»») уполномоченным должностным лицом Министерства – заместителем начальника отдела финансового планирования и бюджетного учета </w:t>
      </w:r>
      <w:r>
        <w:rPr>
          <w:sz w:val="28"/>
        </w:rPr>
        <w:t>Малеваной</w:t>
      </w:r>
      <w:r>
        <w:rPr>
          <w:sz w:val="28"/>
        </w:rPr>
        <w:t xml:space="preserve"> Лилией Вячеславовной.</w:t>
      </w:r>
    </w:p>
    <w:p w14:paraId="0E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Проверяемый период - 2023 год. Тема проверки «Проверка финансово-хозяйственной    деятельности   в   части   организации расчетов с поставщиками и подрядчиками за 2023 год».</w:t>
      </w:r>
    </w:p>
    <w:p w14:paraId="0F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Вопрос, подлежащий изучению в ходе контрольного мероприятия «Полнота и достоверность расчетов с поставщиками и подрядчиками».</w:t>
      </w:r>
    </w:p>
    <w:p w14:paraId="10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 проверяемом периоде руководителем Учреждения являлась с правом первой подписи директор Маякина Татьяна Александровна (приказ Министерства от 05.07.2022 № 47-Л).</w:t>
      </w:r>
    </w:p>
    <w:p w14:paraId="11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На период отпуска директора его обязанности исполняла заместитель директора - </w:t>
      </w:r>
      <w:r>
        <w:rPr>
          <w:sz w:val="28"/>
        </w:rPr>
        <w:t>Ступникова</w:t>
      </w:r>
      <w:r>
        <w:rPr>
          <w:sz w:val="28"/>
        </w:rPr>
        <w:t xml:space="preserve"> Наталья Николаевна (приказ Учреждения от 18.12.2017    № 24-к «О приеме на работу» 18.12.2017):</w:t>
      </w:r>
    </w:p>
    <w:p w14:paraId="12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с 23.03.2023 по 30.03.2023 (приказ Министерства от 21.03.2023 № 51-к);</w:t>
      </w:r>
    </w:p>
    <w:p w14:paraId="13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с 01.08.2023 по 05.10.2023 (приказ Министерства от 14.07.2023 № 132к).</w:t>
      </w:r>
    </w:p>
    <w:p w14:paraId="14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Главным бухгалтером с правом второй подписи Учреждения в 2023 году являлись: </w:t>
      </w:r>
    </w:p>
    <w:p w14:paraId="15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в период с 01.01.2023 по 29.09.2023 </w:t>
      </w:r>
      <w:r>
        <w:rPr>
          <w:sz w:val="28"/>
        </w:rPr>
        <w:t>Хандажевская</w:t>
      </w:r>
      <w:r>
        <w:rPr>
          <w:sz w:val="28"/>
        </w:rPr>
        <w:t xml:space="preserve"> Марина Евгеньевна (приказ Учреждения от 01.11.2019 г. № 58);</w:t>
      </w:r>
    </w:p>
    <w:p w14:paraId="16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в период с 20.11.2023 по 31.12.2023 Новикова Татьяна Юрьевна (приказ Учреждения от 20.11.2023 № 49).</w:t>
      </w:r>
    </w:p>
    <w:p w14:paraId="17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На период отпуска главного бухгалтера и отсутствия основного работника обязанности исполняла бухгалтер – Левченко Татьяна Анатольевна:</w:t>
      </w:r>
    </w:p>
    <w:p w14:paraId="18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с 16.08.2023 по 19.09.2023 (приказ Учреждения от 16.08.2023 № 41);</w:t>
      </w:r>
    </w:p>
    <w:p w14:paraId="19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с 02.10.2023 по 19.11.2023 (приказ Учреждения от 02.10.2023 № 47).</w:t>
      </w:r>
    </w:p>
    <w:p w14:paraId="1A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</w:r>
      <w:r>
        <w:rPr>
          <w:sz w:val="28"/>
        </w:rPr>
        <w:t>Краевое государственное автономное учреждение «Камчатский центр охраны труда» является некоммерческой организацией, созданной для выполнения работ, оказания услуг, осуществления мероприятий в области охраны труда, предусмотренных трудовым законодательством и необходимых для реализации полномочий Министерства труда и развития кадрового потенциала Камчатского края.</w:t>
      </w:r>
    </w:p>
    <w:p w14:paraId="1B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Учреждение является юридическим лицом с момента государственной регистрации, имеет Устав, имущество на праве оперативного управления, самостоятельный баланс, расчетный и иные счета в банковских учреждениях Российской Федерации и в Управлении Федерального казначейства по Камчатскому краю, лицевой счет № 30386Ш74600, бланки со своим наименованием, печать установленного образца, иные необходимые для уставной деятельности печати и штампы.</w:t>
      </w:r>
    </w:p>
    <w:p w14:paraId="1C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 проверяемом периоде деятельность Учреждения регламентировалась Уставом, утвержденным приказом Министерства от 22.12.2020 № 399 (с учетом изменений от 15.05.2023 № 125) и Уставом, утвержденным приказом Министерства от 20.11.2023 № 303.</w:t>
      </w:r>
    </w:p>
    <w:p w14:paraId="1D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Сокращенное наименование: КГАУ «КЦОТ».     </w:t>
      </w:r>
    </w:p>
    <w:p w14:paraId="1E000000">
      <w:pPr>
        <w:spacing w:line="276" w:lineRule="auto"/>
        <w:ind w:firstLine="708" w:left="0" w:right="140"/>
        <w:jc w:val="both"/>
        <w:rPr>
          <w:sz w:val="28"/>
        </w:rPr>
      </w:pPr>
      <w:r>
        <w:rPr>
          <w:sz w:val="28"/>
        </w:rPr>
        <w:t xml:space="preserve">К проверке представлен план финансово-хозяйственной деятельности        </w:t>
      </w:r>
      <w:r>
        <w:rPr>
          <w:sz w:val="28"/>
        </w:rPr>
        <w:t xml:space="preserve">   (</w:t>
      </w:r>
      <w:r>
        <w:rPr>
          <w:sz w:val="28"/>
        </w:rPr>
        <w:t xml:space="preserve">далее - план ФХД) Учреждения на 2023 год, подписанный должностными лицами ответственными за содержащиеся в плане ФХД данные и утвержденные директором учреждения на основании согласования наблюдательного совета 28.12.2022, в сроки установленными порядком. </w:t>
      </w:r>
    </w:p>
    <w:p w14:paraId="1F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Первоначальный план ФХД утвержден директором Учреждения 28.12.2022 по поступлениям от доходов в общей сумме 18460,44 </w:t>
      </w:r>
      <w:r>
        <w:rPr>
          <w:sz w:val="28"/>
        </w:rPr>
        <w:t>тыс.рублей</w:t>
      </w:r>
      <w:r>
        <w:rPr>
          <w:sz w:val="28"/>
        </w:rPr>
        <w:t>, в том числе:</w:t>
      </w:r>
    </w:p>
    <w:p w14:paraId="20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2300,00 </w:t>
      </w:r>
      <w:r>
        <w:rPr>
          <w:sz w:val="28"/>
        </w:rPr>
        <w:t>тыс.рублей</w:t>
      </w:r>
      <w:r>
        <w:rPr>
          <w:sz w:val="28"/>
        </w:rPr>
        <w:t>, средства субсидии на выполнение государственного задания;</w:t>
      </w:r>
    </w:p>
    <w:p w14:paraId="21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160,00 </w:t>
      </w:r>
      <w:r>
        <w:rPr>
          <w:sz w:val="28"/>
        </w:rPr>
        <w:t>тыс.рублей</w:t>
      </w:r>
      <w:r>
        <w:rPr>
          <w:sz w:val="28"/>
        </w:rPr>
        <w:t>, средства субсидии на иные цели;</w:t>
      </w:r>
    </w:p>
    <w:p w14:paraId="22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16000,44 </w:t>
      </w:r>
      <w:r>
        <w:rPr>
          <w:sz w:val="28"/>
        </w:rPr>
        <w:t>тыс.рублей</w:t>
      </w:r>
      <w:r>
        <w:rPr>
          <w:sz w:val="28"/>
        </w:rPr>
        <w:t>, средства от приносящей доход деятельности.</w:t>
      </w:r>
    </w:p>
    <w:p w14:paraId="23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 соответствии с представленными протоколами заседаний наблюдательного совета, в течении 2023 года в первоначальный план ФХД вносились изменения в связи с изменениями размера субсидии на иные цели и объема средств, полученных от приносящей доход деятельности.</w:t>
      </w:r>
    </w:p>
    <w:p w14:paraId="24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Анализ показателей плана ФХД и его исполнения представлен за 2023 год в таблице № 1.</w:t>
      </w:r>
    </w:p>
    <w:tbl>
      <w:tblPr>
        <w:tblStyle w:val="Style_2"/>
        <w:tblW w:type="auto" w:w="0"/>
        <w:tblInd w:type="dxa" w:w="108"/>
        <w:tblLayout w:type="fixed"/>
      </w:tblPr>
      <w:tblGrid>
        <w:gridCol w:w="1680"/>
        <w:gridCol w:w="1670"/>
        <w:gridCol w:w="1368"/>
        <w:gridCol w:w="1297"/>
        <w:gridCol w:w="1333"/>
        <w:gridCol w:w="1541"/>
        <w:gridCol w:w="1239"/>
      </w:tblGrid>
      <w:tr>
        <w:trPr>
          <w:trHeight w:hRule="atLeast" w:val="290"/>
        </w:trPr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00000">
            <w:pPr>
              <w:rPr>
                <w:sz w:val="20"/>
              </w:rPr>
            </w:pPr>
          </w:p>
        </w:tc>
        <w:tc>
          <w:tcPr>
            <w:tcW w:type="dxa" w:w="1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6000000">
            <w:pPr>
              <w:rPr>
                <w:sz w:val="20"/>
              </w:rPr>
            </w:pPr>
          </w:p>
        </w:tc>
        <w:tc>
          <w:tcPr>
            <w:tcW w:type="dxa" w:w="13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7000000">
            <w:pPr>
              <w:rPr>
                <w:sz w:val="20"/>
              </w:rPr>
            </w:pPr>
          </w:p>
        </w:tc>
        <w:tc>
          <w:tcPr>
            <w:tcW w:type="dxa" w:w="12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8000000">
            <w:pPr>
              <w:rPr>
                <w:sz w:val="20"/>
              </w:rPr>
            </w:pPr>
          </w:p>
        </w:tc>
        <w:tc>
          <w:tcPr>
            <w:tcW w:type="dxa" w:w="13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9000000">
            <w:pPr>
              <w:rPr>
                <w:sz w:val="20"/>
              </w:rPr>
            </w:pPr>
          </w:p>
        </w:tc>
        <w:tc>
          <w:tcPr>
            <w:tcW w:type="dxa" w:w="15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A000000">
            <w:pPr>
              <w:rPr>
                <w:sz w:val="20"/>
              </w:rPr>
            </w:pPr>
          </w:p>
        </w:tc>
        <w:tc>
          <w:tcPr>
            <w:tcW w:type="dxa" w:w="12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B000000">
            <w:pPr>
              <w:rPr>
                <w:sz w:val="22"/>
              </w:rPr>
            </w:pPr>
            <w:r>
              <w:rPr>
                <w:sz w:val="22"/>
              </w:rPr>
              <w:t>Таблица 1</w:t>
            </w:r>
          </w:p>
        </w:tc>
      </w:tr>
      <w:tr>
        <w:trPr>
          <w:trHeight w:hRule="atLeast" w:val="290"/>
        </w:trPr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00000">
            <w:pPr>
              <w:rPr>
                <w:sz w:val="20"/>
              </w:rPr>
            </w:pPr>
          </w:p>
        </w:tc>
        <w:tc>
          <w:tcPr>
            <w:tcW w:type="dxa" w:w="1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00000">
            <w:pPr>
              <w:rPr>
                <w:sz w:val="20"/>
              </w:rPr>
            </w:pPr>
          </w:p>
        </w:tc>
        <w:tc>
          <w:tcPr>
            <w:tcW w:type="dxa" w:w="13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00000">
            <w:pPr>
              <w:rPr>
                <w:sz w:val="20"/>
              </w:rPr>
            </w:pPr>
          </w:p>
        </w:tc>
        <w:tc>
          <w:tcPr>
            <w:tcW w:type="dxa" w:w="12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00000">
            <w:pPr>
              <w:rPr>
                <w:sz w:val="20"/>
              </w:rPr>
            </w:pPr>
          </w:p>
        </w:tc>
        <w:tc>
          <w:tcPr>
            <w:tcW w:type="dxa" w:w="13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00000">
            <w:pPr>
              <w:rPr>
                <w:sz w:val="20"/>
              </w:rPr>
            </w:pPr>
          </w:p>
        </w:tc>
        <w:tc>
          <w:tcPr>
            <w:tcW w:type="dxa" w:w="15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00000">
            <w:pPr>
              <w:rPr>
                <w:sz w:val="20"/>
              </w:rPr>
            </w:pPr>
          </w:p>
        </w:tc>
        <w:tc>
          <w:tcPr>
            <w:tcW w:type="dxa" w:w="12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00000">
            <w:pPr>
              <w:ind w:firstLine="0" w:left="-6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тыс.рублей</w:t>
            </w:r>
            <w:r>
              <w:rPr>
                <w:sz w:val="20"/>
              </w:rPr>
              <w:t>)</w:t>
            </w:r>
          </w:p>
        </w:tc>
      </w:tr>
      <w:tr>
        <w:trPr>
          <w:trHeight w:hRule="atLeast" w:val="290"/>
        </w:trPr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rPr>
                <w:sz w:val="20"/>
              </w:rPr>
            </w:pPr>
            <w:r>
              <w:rPr>
                <w:sz w:val="20"/>
              </w:rPr>
              <w:t>Источник поступлений</w:t>
            </w:r>
          </w:p>
        </w:tc>
        <w:tc>
          <w:tcPr>
            <w:tcW w:type="dxa" w:w="303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 ФХД</w:t>
            </w:r>
          </w:p>
        </w:tc>
        <w:tc>
          <w:tcPr>
            <w:tcW w:type="dxa" w:w="12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Отклонение</w:t>
            </w:r>
          </w:p>
        </w:tc>
        <w:tc>
          <w:tcPr>
            <w:tcW w:type="dxa" w:w="1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плановых назначений</w:t>
            </w:r>
          </w:p>
        </w:tc>
        <w:tc>
          <w:tcPr>
            <w:tcW w:type="dxa" w:w="1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Исполнено плановых назначений</w:t>
            </w:r>
          </w:p>
        </w:tc>
        <w:tc>
          <w:tcPr>
            <w:tcW w:type="dxa" w:w="12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исполнено</w:t>
            </w:r>
          </w:p>
        </w:tc>
      </w:tr>
      <w:tr>
        <w:trPr>
          <w:trHeight w:hRule="atLeast" w:val="785"/>
        </w:trPr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>Первоначальный</w:t>
            </w:r>
          </w:p>
        </w:tc>
        <w:tc>
          <w:tcPr>
            <w:tcW w:type="dxa" w:w="13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rPr>
                <w:sz w:val="20"/>
              </w:rPr>
            </w:pPr>
            <w:r>
              <w:rPr>
                <w:sz w:val="20"/>
              </w:rPr>
              <w:t>Уточненный</w:t>
            </w:r>
          </w:p>
        </w:tc>
        <w:tc>
          <w:tcPr>
            <w:tcW w:type="dxa" w:w="12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1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12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</w:tr>
      <w:tr>
        <w:trPr>
          <w:trHeight w:hRule="atLeast" w:val="320"/>
        </w:trPr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3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4(3-2)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7(6-5)</w:t>
            </w:r>
          </w:p>
        </w:tc>
      </w:tr>
      <w:tr>
        <w:trPr>
          <w:trHeight w:hRule="atLeast" w:val="480"/>
        </w:trPr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rPr>
                <w:sz w:val="20"/>
              </w:rPr>
            </w:pPr>
            <w:r>
              <w:rPr>
                <w:sz w:val="20"/>
              </w:rPr>
              <w:t>Остаток средств на начало года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3797,49</w:t>
            </w:r>
          </w:p>
        </w:tc>
        <w:tc>
          <w:tcPr>
            <w:tcW w:type="dxa" w:w="13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3797,49</w:t>
            </w:r>
          </w:p>
        </w:tc>
        <w:tc>
          <w:tcPr>
            <w:tcW w:type="dxa" w:w="12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3797,49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371"/>
        </w:trPr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rPr>
                <w:sz w:val="20"/>
              </w:rPr>
            </w:pPr>
            <w:r>
              <w:rPr>
                <w:sz w:val="20"/>
              </w:rPr>
              <w:t xml:space="preserve">1. Субсидия на </w:t>
            </w:r>
            <w:r>
              <w:rPr>
                <w:sz w:val="20"/>
              </w:rPr>
              <w:t>госзадание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2300,00</w:t>
            </w:r>
          </w:p>
        </w:tc>
        <w:tc>
          <w:tcPr>
            <w:tcW w:type="dxa" w:w="13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2300,00</w:t>
            </w:r>
          </w:p>
        </w:tc>
        <w:tc>
          <w:tcPr>
            <w:tcW w:type="dxa" w:w="12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2300,00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2300,00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444"/>
        </w:trPr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rPr>
                <w:sz w:val="20"/>
              </w:rPr>
            </w:pPr>
            <w:r>
              <w:rPr>
                <w:sz w:val="20"/>
              </w:rPr>
              <w:t>2. Субсидия на иные цели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  <w:tc>
          <w:tcPr>
            <w:tcW w:type="dxa" w:w="13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747,36</w:t>
            </w:r>
          </w:p>
        </w:tc>
        <w:tc>
          <w:tcPr>
            <w:tcW w:type="dxa" w:w="12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587,36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747,36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587,36</w:t>
            </w:r>
          </w:p>
        </w:tc>
      </w:tr>
      <w:tr>
        <w:trPr>
          <w:trHeight w:hRule="atLeast" w:val="884"/>
        </w:trPr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rPr>
                <w:sz w:val="20"/>
              </w:rPr>
            </w:pPr>
            <w:r>
              <w:rPr>
                <w:sz w:val="20"/>
              </w:rPr>
              <w:t>3. Доходы от оказания платных услуг и иной приносящей доход деятельности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16000,44</w:t>
            </w:r>
          </w:p>
        </w:tc>
        <w:tc>
          <w:tcPr>
            <w:tcW w:type="dxa" w:w="13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7759,69</w:t>
            </w:r>
          </w:p>
        </w:tc>
        <w:tc>
          <w:tcPr>
            <w:tcW w:type="dxa" w:w="12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-8240,75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19797,89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10245,11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-9552,78</w:t>
            </w:r>
          </w:p>
        </w:tc>
      </w:tr>
      <w:tr>
        <w:trPr>
          <w:trHeight w:hRule="atLeast" w:val="407"/>
        </w:trPr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rPr>
                <w:sz w:val="20"/>
              </w:rPr>
            </w:pPr>
            <w:r>
              <w:rPr>
                <w:sz w:val="20"/>
              </w:rPr>
              <w:t>Остаток средств на конец года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1312,07</w:t>
            </w:r>
          </w:p>
        </w:tc>
        <w:tc>
          <w:tcPr>
            <w:tcW w:type="dxa" w:w="12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1312,07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90"/>
        </w:trPr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18460,44</w:t>
            </w:r>
          </w:p>
        </w:tc>
        <w:tc>
          <w:tcPr>
            <w:tcW w:type="dxa" w:w="13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10807,05</w:t>
            </w:r>
          </w:p>
        </w:tc>
        <w:tc>
          <w:tcPr>
            <w:tcW w:type="dxa" w:w="12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-7653,39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22257,89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13292,47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-8965,42</w:t>
            </w:r>
          </w:p>
        </w:tc>
      </w:tr>
    </w:tbl>
    <w:p w14:paraId="6C000000">
      <w:pPr>
        <w:spacing w:line="276" w:lineRule="auto"/>
        <w:ind w:firstLine="708" w:left="0"/>
        <w:jc w:val="both"/>
        <w:rPr>
          <w:sz w:val="28"/>
        </w:rPr>
      </w:pPr>
    </w:p>
    <w:p w14:paraId="6D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Из приведенных данных следует, планируемый объем доходов по уточненному плану ФХД уменьшился по сравнению с планом, утвержденным на начало года на 8965,42 </w:t>
      </w:r>
      <w:r>
        <w:rPr>
          <w:sz w:val="28"/>
        </w:rPr>
        <w:t>тыс.рублей</w:t>
      </w:r>
      <w:r>
        <w:rPr>
          <w:sz w:val="28"/>
        </w:rPr>
        <w:t>.</w:t>
      </w:r>
    </w:p>
    <w:p w14:paraId="6E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 целом исполнение плана ФХД по доходам составило 59,72% или    13292,47 </w:t>
      </w:r>
      <w:r>
        <w:rPr>
          <w:sz w:val="28"/>
        </w:rPr>
        <w:t>тыс.рублей</w:t>
      </w:r>
      <w:r>
        <w:rPr>
          <w:sz w:val="28"/>
        </w:rPr>
        <w:t xml:space="preserve">. </w:t>
      </w:r>
    </w:p>
    <w:p w14:paraId="6F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Причиной неисполнения плана по доходам от оказания платных услуг и иной приносящей доход деятельности является оказание меньшего количества услуг, планируемого в 2023 году.</w:t>
      </w:r>
    </w:p>
    <w:p w14:paraId="70000000">
      <w:pPr>
        <w:spacing w:line="276" w:lineRule="auto"/>
        <w:ind w:firstLine="708" w:left="0"/>
        <w:jc w:val="both"/>
        <w:rPr>
          <w:sz w:val="28"/>
        </w:rPr>
      </w:pPr>
    </w:p>
    <w:p w14:paraId="71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Учетная политика на 2023 год утверждена приказом Учреждения от 30.12.2021 № 79 «Об утверждении учетной политики для целей бухгалтерского учета». </w:t>
      </w:r>
    </w:p>
    <w:p w14:paraId="72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Основанием для отражения в бухгалтерском учете являются первичные учетные документы, составленные по унифицированным формам, утвержденные в учетной политике.</w:t>
      </w:r>
    </w:p>
    <w:p w14:paraId="73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Первичные учетные документы сформированы на бумажном носителе, относятся к соответствующим журналам операций, хронологически подобраны и сброшюрованы.</w:t>
      </w:r>
    </w:p>
    <w:p w14:paraId="74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 2023 году Учреждением заключались договора в соответствии с требованиями Федерального закона от 18.07.2011 № 223-ФЗ «О закупках товаров, работ, услуг отдельными видами юридических лиц» на общую сумму 4783096,65 рублей. Реестр договоров прилагается (Приложение № 1 на 2 л.).</w:t>
      </w:r>
    </w:p>
    <w:p w14:paraId="75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Сплошным методом были проверены счета 206.00 «</w:t>
      </w:r>
      <w:r>
        <w:rPr>
          <w:color w:val="333333"/>
          <w:sz w:val="28"/>
          <w:highlight w:val="white"/>
        </w:rPr>
        <w:t>Расчеты</w:t>
      </w:r>
      <w:r>
        <w:rPr>
          <w:sz w:val="28"/>
        </w:rPr>
        <w:t xml:space="preserve"> по выданным авансам» и 302.00 «</w:t>
      </w:r>
      <w:r>
        <w:rPr>
          <w:rStyle w:val="Style_3_ch"/>
          <w:b w:val="0"/>
          <w:color w:val="333333"/>
          <w:sz w:val="28"/>
          <w:highlight w:val="white"/>
        </w:rPr>
        <w:t>Расчёты по принятым обязательствам</w:t>
      </w:r>
      <w:r>
        <w:rPr>
          <w:sz w:val="28"/>
        </w:rPr>
        <w:t>» за 2023 год.</w:t>
      </w:r>
    </w:p>
    <w:p w14:paraId="76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Аналитический учет расчетов с поставщиками по выданным авансам ведется в разрезе дебиторов по соответствующим им суммам выданных авансов в Журнале по расчетам с поставщиками и подрядчиками (ф. 0504071).</w:t>
      </w:r>
    </w:p>
    <w:p w14:paraId="77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Отражение операций по счету 206.00 осуществляется в Журнале по расчетам с поставщиками и подрядчиками.</w:t>
      </w:r>
    </w:p>
    <w:p w14:paraId="78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Аналитический учет расчетов с поставщиками и подрядчиками за выполненные работы, оказанные услуги ведется в разрезе дебиторов по соответствующим им суммам выданных авансов в Журнале по расчетам с поставщиками и подрядчиками (ф. 0504071).</w:t>
      </w:r>
    </w:p>
    <w:p w14:paraId="79000000">
      <w:pPr>
        <w:tabs>
          <w:tab w:leader="none" w:pos="720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Дебиторская задолженность по расчетам с поставщиками и подрядчиками за счет субсидий на выполнение государственного (муниципального задания) и субсидии на иные цели Учреждения по состоянию на 01.01.2024 отсутствует (Приложение № 2 на 1 л.). </w:t>
      </w:r>
    </w:p>
    <w:p w14:paraId="7A000000">
      <w:pPr>
        <w:tabs>
          <w:tab w:leader="none" w:pos="709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     Дебиторская задолженность за счет собственных доходов Учреждения по состоянию на 01.01.2024 составляет 67000,00 рублей (приложение № 3 на 20 л.) в том числе: </w:t>
      </w:r>
    </w:p>
    <w:p w14:paraId="7B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- по счету 205.31</w:t>
      </w:r>
      <w:r>
        <w:rPr>
          <w:rFonts w:ascii="Arial" w:hAnsi="Arial"/>
          <w:b w:val="1"/>
          <w:color w:val="333333"/>
          <w:highlight w:val="white"/>
        </w:rPr>
        <w:t xml:space="preserve"> </w:t>
      </w:r>
      <w:r>
        <w:rPr>
          <w:b w:val="1"/>
          <w:color w:val="333333"/>
          <w:sz w:val="28"/>
          <w:highlight w:val="white"/>
        </w:rPr>
        <w:t>«</w:t>
      </w:r>
      <w:r>
        <w:rPr>
          <w:color w:val="333333"/>
          <w:sz w:val="28"/>
          <w:highlight w:val="white"/>
        </w:rPr>
        <w:t>Расчеты по доходам от оказания платных услуг (работ)»</w:t>
      </w:r>
      <w:r>
        <w:rPr>
          <w:sz w:val="28"/>
        </w:rPr>
        <w:t>. Задолженность за образовательные услуги образовалась в связи ошибочным проведением двойных актов оказанных услуг. В январе 2024 года произведена корректировка. Исправление ошибок прошлых лет осуществлялось в соответствии с требованием п. 33 СГС «Учетная политика, оценочные значения и ошибки».  (Приложение № 4 на</w:t>
      </w:r>
      <w:r>
        <w:rPr>
          <w:sz w:val="28"/>
        </w:rPr>
        <w:t xml:space="preserve"> 1</w:t>
      </w:r>
      <w:r>
        <w:rPr>
          <w:sz w:val="28"/>
        </w:rPr>
        <w:t xml:space="preserve"> л.).</w:t>
      </w:r>
    </w:p>
    <w:p w14:paraId="7C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Отражение операций по счету 302.00 осуществляется в Журнале по расчетам с поставщиками и подрядчиками. </w:t>
      </w:r>
    </w:p>
    <w:p w14:paraId="7D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Форма Карточка учета средств и </w:t>
      </w:r>
      <w:r>
        <w:rPr>
          <w:sz w:val="28"/>
        </w:rPr>
        <w:t>расчетов (</w:t>
      </w:r>
      <w:r>
        <w:rPr>
          <w:sz w:val="28"/>
        </w:rPr>
        <w:t xml:space="preserve">ф. 0504051) в учете не ведется. </w:t>
      </w:r>
    </w:p>
    <w:p w14:paraId="7E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Ведется ежемесячный реестр закупок с разбивкой по поставщикам, номенклатуре товаров, работ и услуг. </w:t>
      </w:r>
    </w:p>
    <w:p w14:paraId="7F000000">
      <w:pPr>
        <w:tabs>
          <w:tab w:leader="none" w:pos="709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Кредиторская задолженность по расчетам с поставщиками и подрядчиками за счет субсидий на выполнение государственного (муниципального задания) и </w:t>
      </w:r>
      <w:r>
        <w:rPr>
          <w:sz w:val="28"/>
        </w:rPr>
        <w:t xml:space="preserve">субсидии на иные цели Учреждения по состоянию на 01.01.2024 отсутствует (Приложение № 5 на 2 л.). </w:t>
      </w:r>
    </w:p>
    <w:p w14:paraId="80000000">
      <w:pPr>
        <w:tabs>
          <w:tab w:leader="none" w:pos="709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Кредиторская задолженность за счет собственных доходов Учреждения по состоянию на 01.01.2024 составляет 178000,00 рублей (приложение № 3 на 20 л.) в том числе: </w:t>
      </w:r>
    </w:p>
    <w:p w14:paraId="81000000">
      <w:pPr>
        <w:tabs>
          <w:tab w:leader="none" w:pos="709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- по счету 205.31</w:t>
      </w:r>
      <w:r>
        <w:rPr>
          <w:rFonts w:ascii="Arial" w:hAnsi="Arial"/>
          <w:b w:val="1"/>
          <w:color w:val="333333"/>
          <w:highlight w:val="white"/>
        </w:rPr>
        <w:t xml:space="preserve"> </w:t>
      </w:r>
      <w:r>
        <w:rPr>
          <w:b w:val="1"/>
          <w:color w:val="333333"/>
          <w:sz w:val="28"/>
          <w:highlight w:val="white"/>
        </w:rPr>
        <w:t>«</w:t>
      </w:r>
      <w:r>
        <w:rPr>
          <w:color w:val="333333"/>
          <w:sz w:val="28"/>
          <w:highlight w:val="white"/>
        </w:rPr>
        <w:t>Расчеты по доходам от оказания платных услуг (работ)»</w:t>
      </w:r>
      <w:r>
        <w:rPr>
          <w:sz w:val="28"/>
        </w:rPr>
        <w:t>. Задолженность за образовательные услуги образовалась в связи</w:t>
      </w:r>
      <w:r>
        <w:t xml:space="preserve"> </w:t>
      </w:r>
      <w:r>
        <w:rPr>
          <w:sz w:val="28"/>
        </w:rPr>
        <w:t xml:space="preserve">авансированием по договорам за оказание образовательных услуг. </w:t>
      </w:r>
    </w:p>
    <w:p w14:paraId="82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Проверкой расчетов с поставщиками и подрядчиками установлено, что кредиторская и дебиторская задолженность по состоянию на 01.01.2024 соответствует главной книги и годовой бухгалтерской отчетности.</w:t>
      </w:r>
    </w:p>
    <w:p w14:paraId="83000000">
      <w:pPr>
        <w:spacing w:line="276" w:lineRule="auto"/>
        <w:ind/>
        <w:jc w:val="both"/>
        <w:rPr>
          <w:sz w:val="28"/>
        </w:rPr>
      </w:pPr>
    </w:p>
    <w:p w14:paraId="84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Бухгалтерский учет в Учреждении велся в проверяемом периоде согласно требованиям Инструкции № 183н, Единого План счетов бюджетного учета и с учетом   Федерального закона от 06.12.2011 № 402-ФЗ «О бухгалтерском учете».  Бюджетный учет автоматизирован на основе программного продукта «1С Бухгалтерия государственного учреждения 8.3», электронный документооборот с Управлением Федерального казначейства по Камчатскому краю осуществляется по защищенным каналам связи.  </w:t>
      </w:r>
    </w:p>
    <w:p w14:paraId="85000000">
      <w:pPr>
        <w:tabs>
          <w:tab w:leader="none" w:pos="709" w:val="left"/>
        </w:tabs>
        <w:spacing w:line="276" w:lineRule="auto"/>
        <w:ind w:firstLine="426" w:left="0"/>
        <w:jc w:val="both"/>
        <w:rPr>
          <w:sz w:val="28"/>
        </w:rPr>
      </w:pPr>
      <w:r>
        <w:rPr>
          <w:sz w:val="28"/>
        </w:rPr>
        <w:tab/>
      </w:r>
    </w:p>
    <w:p w14:paraId="86000000">
      <w:pPr>
        <w:tabs>
          <w:tab w:leader="none" w:pos="709" w:val="left"/>
        </w:tabs>
        <w:spacing w:line="276" w:lineRule="auto"/>
        <w:ind w:firstLine="426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87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</w:p>
    <w:p w14:paraId="88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Заместитель начальника отдела                             Директор </w:t>
      </w:r>
    </w:p>
    <w:p w14:paraId="89000000">
      <w:pPr>
        <w:tabs>
          <w:tab w:leader="none" w:pos="4962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финансового    планирования </w:t>
      </w:r>
      <w:r>
        <w:rPr>
          <w:sz w:val="28"/>
        </w:rPr>
        <w:tab/>
      </w:r>
      <w:r>
        <w:rPr>
          <w:sz w:val="28"/>
        </w:rPr>
        <w:t xml:space="preserve">            КГАУ «КЦОТ»     </w:t>
      </w:r>
      <w:r>
        <w:rPr>
          <w:sz w:val="28"/>
        </w:rPr>
        <w:tab/>
      </w:r>
    </w:p>
    <w:p w14:paraId="8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5031" w:val="center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и бюджетного учета Министерства</w:t>
      </w:r>
      <w:r>
        <w:rPr>
          <w:sz w:val="28"/>
        </w:rPr>
        <w:tab/>
      </w:r>
      <w:r>
        <w:rPr>
          <w:sz w:val="28"/>
        </w:rPr>
        <w:tab/>
      </w:r>
    </w:p>
    <w:p w14:paraId="8B000000">
      <w:pPr>
        <w:ind/>
        <w:jc w:val="both"/>
        <w:rPr>
          <w:sz w:val="28"/>
        </w:rPr>
      </w:pPr>
      <w:r>
        <w:rPr>
          <w:sz w:val="28"/>
        </w:rPr>
        <w:t xml:space="preserve">_________________Л.В. Малеваная                      ____________ Т.А. </w:t>
      </w:r>
      <w:r>
        <w:rPr>
          <w:sz w:val="28"/>
        </w:rPr>
        <w:t>Маякина</w:t>
      </w:r>
    </w:p>
    <w:p w14:paraId="8C000000">
      <w:pPr>
        <w:ind/>
        <w:jc w:val="both"/>
        <w:rPr>
          <w:sz w:val="28"/>
        </w:rPr>
      </w:pPr>
    </w:p>
    <w:p w14:paraId="8D000000">
      <w:pPr>
        <w:ind w:firstLine="708" w:left="3540"/>
        <w:rPr>
          <w:sz w:val="28"/>
        </w:rPr>
      </w:pPr>
      <w:r>
        <w:rPr>
          <w:sz w:val="28"/>
        </w:rPr>
        <w:t xml:space="preserve">                      Главный бухгалтер</w:t>
      </w:r>
    </w:p>
    <w:p w14:paraId="8E000000">
      <w:pPr>
        <w:ind w:firstLine="708" w:left="3540"/>
        <w:rPr>
          <w:sz w:val="28"/>
        </w:rPr>
      </w:pPr>
      <w:r>
        <w:rPr>
          <w:sz w:val="28"/>
        </w:rPr>
        <w:t xml:space="preserve">                      КГАУ «КЦОТ» </w:t>
      </w:r>
    </w:p>
    <w:p w14:paraId="8F000000">
      <w:pPr>
        <w:tabs>
          <w:tab w:leader="none" w:pos="5103" w:val="left"/>
        </w:tabs>
        <w:ind w:firstLine="708" w:left="3540"/>
        <w:jc w:val="both"/>
        <w:rPr>
          <w:sz w:val="28"/>
        </w:rPr>
      </w:pPr>
      <w:r>
        <w:rPr>
          <w:sz w:val="28"/>
        </w:rPr>
        <w:t xml:space="preserve">                     _____________ Т.Ю. Новикова</w:t>
      </w:r>
    </w:p>
    <w:sectPr>
      <w:footerReference r:id="rId1" w:type="default"/>
      <w:pgSz w:h="16838" w:orient="portrait" w:w="11906"/>
      <w:pgMar w:bottom="851" w:footer="709" w:gutter="0" w:header="709" w:left="1276" w:right="567" w:top="10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4"/>
    <w:link w:val="Style_1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0_ch" w:type="character">
    <w:name w:val="List Paragraph"/>
    <w:basedOn w:val="Style_4_ch"/>
    <w:link w:val="Style_10"/>
    <w:rPr>
      <w:rFonts w:ascii="Calibri" w:hAnsi="Calibri"/>
      <w:sz w:val="22"/>
    </w:rPr>
  </w:style>
  <w:style w:styleId="Style_11" w:type="paragraph">
    <w:name w:val="Знак сноски1"/>
    <w:link w:val="Style_11_ch"/>
    <w:rPr>
      <w:vertAlign w:val="superscript"/>
    </w:rPr>
  </w:style>
  <w:style w:styleId="Style_11_ch" w:type="character">
    <w:name w:val="Знак сноски1"/>
    <w:link w:val="Style_11"/>
    <w:rPr>
      <w:vertAlign w:val="superscript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Indent"/>
    <w:basedOn w:val="Style_4"/>
    <w:link w:val="Style_14_ch"/>
    <w:pPr>
      <w:widowControl w:val="0"/>
      <w:spacing w:after="120"/>
      <w:ind w:firstLine="0" w:left="283"/>
    </w:pPr>
  </w:style>
  <w:style w:styleId="Style_14_ch" w:type="character">
    <w:name w:val="Body Text Indent"/>
    <w:basedOn w:val="Style_4_ch"/>
    <w:link w:val="Style_14"/>
  </w:style>
  <w:style w:styleId="Style_15" w:type="paragraph">
    <w:name w:val="ConsPlusTitle"/>
    <w:link w:val="Style_15_ch"/>
    <w:pPr>
      <w:widowControl w:val="0"/>
      <w:ind/>
    </w:pPr>
    <w:rPr>
      <w:b w:val="1"/>
      <w:sz w:val="24"/>
    </w:rPr>
  </w:style>
  <w:style w:styleId="Style_15_ch" w:type="character">
    <w:name w:val="ConsPlusTitle"/>
    <w:link w:val="Style_15"/>
    <w:rPr>
      <w:b w:val="1"/>
      <w:sz w:val="24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header"/>
    <w:basedOn w:val="Style_4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4_ch"/>
    <w:link w:val="Style_18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0_ch" w:type="character">
    <w:name w:val="heading 1"/>
    <w:basedOn w:val="Style_4_ch"/>
    <w:link w:val="Style_20"/>
    <w:rPr>
      <w:rFonts w:ascii="Calibri Light" w:hAnsi="Calibri Light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4"/>
    <w:link w:val="Style_22_ch"/>
    <w:rPr>
      <w:sz w:val="20"/>
    </w:rPr>
  </w:style>
  <w:style w:styleId="Style_22_ch" w:type="character">
    <w:name w:val="Footnote"/>
    <w:basedOn w:val="Style_4_ch"/>
    <w:link w:val="Style_22"/>
    <w:rPr>
      <w:sz w:val="20"/>
    </w:rPr>
  </w:style>
  <w:style w:styleId="Style_3" w:type="paragraph">
    <w:name w:val="Строгий1"/>
    <w:link w:val="Style_3_ch"/>
    <w:rPr>
      <w:b w:val="1"/>
    </w:rPr>
  </w:style>
  <w:style w:styleId="Style_3_ch" w:type="character">
    <w:name w:val="Строгий1"/>
    <w:link w:val="Style_3"/>
    <w:rPr>
      <w:b w:val="1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4"/>
    <w:next w:val="Style_4"/>
    <w:link w:val="Style_3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3_ch" w:type="character">
    <w:name w:val="heading 4"/>
    <w:basedOn w:val="Style_4_ch"/>
    <w:link w:val="Style_33"/>
    <w:rPr>
      <w:rFonts w:ascii="Calibri" w:hAnsi="Calibri"/>
      <w:b w:val="1"/>
      <w:sz w:val="28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2024-05-16T23:42:38Z</dcterms:modified>
</cp:coreProperties>
</file>