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Памятка </w:t>
      </w:r>
    </w:p>
    <w:p w14:paraId="0200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по вопросам </w:t>
      </w:r>
      <w:r>
        <w:rPr>
          <w:rFonts w:ascii="Times New Roman" w:hAnsi="Times New Roman"/>
          <w:b w:val="1"/>
          <w:sz w:val="36"/>
        </w:rPr>
        <w:t>нелегальной занятост</w:t>
      </w:r>
      <w:r>
        <w:rPr>
          <w:rFonts w:ascii="Times New Roman" w:hAnsi="Times New Roman"/>
          <w:b w:val="1"/>
          <w:sz w:val="36"/>
        </w:rPr>
        <w:t>и</w:t>
      </w:r>
    </w:p>
    <w:p w14:paraId="0300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b w:val="0"/>
          <w:i w:val="1"/>
        </w:rPr>
      </w:pPr>
      <w:r>
        <w:rPr>
          <w:rFonts w:ascii="Times New Roman" w:hAnsi="Times New Roman"/>
          <w:b w:val="0"/>
          <w:i w:val="1"/>
          <w:sz w:val="36"/>
        </w:rPr>
        <w:t xml:space="preserve">(о </w:t>
      </w:r>
      <w:r>
        <w:rPr>
          <w:rFonts w:ascii="Times New Roman" w:hAnsi="Times New Roman"/>
          <w:b w:val="0"/>
          <w:i w:val="1"/>
          <w:sz w:val="36"/>
        </w:rPr>
        <w:t xml:space="preserve">механизме противодействия, признаках, проверках, </w:t>
      </w:r>
      <w:r>
        <w:rPr>
          <w:rFonts w:ascii="Times New Roman" w:hAnsi="Times New Roman"/>
          <w:b w:val="0"/>
          <w:i w:val="1"/>
          <w:sz w:val="36"/>
        </w:rPr>
        <w:t>последствиях и рекомендаци</w:t>
      </w:r>
      <w:r>
        <w:rPr>
          <w:rFonts w:ascii="Times New Roman" w:hAnsi="Times New Roman"/>
          <w:b w:val="0"/>
          <w:i w:val="1"/>
          <w:sz w:val="36"/>
        </w:rPr>
        <w:t>ях)</w:t>
      </w:r>
    </w:p>
    <w:p w14:paraId="0400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b w:val="1"/>
          <w:sz w:val="36"/>
        </w:rPr>
      </w:pPr>
    </w:p>
    <w:p w14:paraId="0500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spacing w:after="0" w:before="0"/>
        <w:ind w:firstLine="567" w:left="0" w:right="0"/>
        <w:jc w:val="both"/>
        <w:rPr>
          <w:sz w:val="26"/>
        </w:rPr>
      </w:pPr>
      <w:r>
        <w:rPr>
          <w:sz w:val="26"/>
        </w:rPr>
        <w:t>Минтруд утвердил перечень признаков нелегальной занятости, по которым будут выявлять и привлекать к ответственности недобросовестных работодателей. Информацию о таких работодателях передадут в Роструд и комиссии по противодействию нелегальной занятости населения для проведения соответствующих проверок. Рассказываем, какие работодатели попадут под подозрение и какие меры ответственности им грозят.</w:t>
      </w:r>
    </w:p>
    <w:p w14:paraId="07000000">
      <w:pPr>
        <w:pStyle w:val="Style_2"/>
        <w:spacing w:after="0" w:before="0"/>
        <w:ind w:firstLine="567" w:left="0" w:right="0"/>
        <w:jc w:val="both"/>
        <w:rPr>
          <w:sz w:val="26"/>
        </w:rPr>
      </w:pPr>
      <w:r>
        <w:rPr>
          <w:sz w:val="26"/>
        </w:rPr>
        <w:t xml:space="preserve">С 1 января 2024 года </w:t>
      </w:r>
      <w:r>
        <w:rPr>
          <w:sz w:val="26"/>
          <w:u w:val="none"/>
        </w:rPr>
        <w:fldChar w:fldCharType="begin"/>
      </w:r>
      <w:r>
        <w:rPr>
          <w:sz w:val="26"/>
          <w:u w:val="none"/>
        </w:rPr>
        <w:instrText>HYPERLINK "https://buh.ru/news/s-2024-goda-vstupit-v-silu-novyy-zakon-o-zanyatosti.html"</w:instrText>
      </w:r>
      <w:r>
        <w:rPr>
          <w:sz w:val="26"/>
          <w:u w:val="none"/>
        </w:rPr>
        <w:fldChar w:fldCharType="separate"/>
      </w:r>
      <w:r>
        <w:rPr>
          <w:sz w:val="26"/>
          <w:u w:val="none"/>
        </w:rPr>
        <w:t xml:space="preserve"> от 12.12.2023 №565-ФЗ «О занятости нас</w:t>
      </w:r>
      <w:r>
        <w:rPr>
          <w:sz w:val="26"/>
          <w:u w:val="none"/>
        </w:rPr>
        <w:fldChar w:fldCharType="end"/>
      </w:r>
      <w:r>
        <w:rPr>
          <w:sz w:val="26"/>
        </w:rPr>
        <w:t xml:space="preserve">еления в РФ», который в числе всего прочего предусматривает создание и функционирование региональных межведомственных комиссий по противодействию нелегальной занятости. </w:t>
      </w:r>
    </w:p>
    <w:p w14:paraId="08000000">
      <w:pPr>
        <w:pStyle w:val="Style_2"/>
        <w:spacing w:after="0" w:before="0"/>
        <w:ind w:firstLine="0" w:left="0" w:right="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рамках реализации положений указанного закона в Камчатском крае образована </w:t>
      </w:r>
      <w:r>
        <w:rPr>
          <w:sz w:val="26"/>
        </w:rPr>
        <w:t>Камчатского края по противодействию нелегальной занятости</w:t>
      </w:r>
      <w:r>
        <w:rPr>
          <w:sz w:val="26"/>
        </w:rPr>
        <w:t>.</w:t>
      </w:r>
    </w:p>
    <w:p w14:paraId="09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Комисс</w:t>
      </w:r>
      <w:r>
        <w:rPr>
          <w:rFonts w:ascii="Times New Roman" w:hAnsi="Times New Roman"/>
          <w:sz w:val="26"/>
        </w:rPr>
        <w:t>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формиров</w:t>
      </w:r>
      <w:r>
        <w:rPr>
          <w:rFonts w:ascii="Times New Roman" w:hAnsi="Times New Roman"/>
          <w:sz w:val="26"/>
        </w:rPr>
        <w:t>ана</w:t>
      </w:r>
      <w:r>
        <w:rPr>
          <w:rFonts w:ascii="Times New Roman" w:hAnsi="Times New Roman"/>
          <w:sz w:val="26"/>
        </w:rPr>
        <w:t xml:space="preserve"> из представителей ФНС, СФР, прокуратуры, МВД, Роструда, профсоюзов, </w:t>
      </w:r>
      <w:r>
        <w:rPr>
          <w:rFonts w:ascii="Times New Roman" w:hAnsi="Times New Roman"/>
          <w:sz w:val="26"/>
        </w:rPr>
        <w:t>представителей органов местного самоуправления и других заинтересованных организаций.</w:t>
      </w:r>
      <w:r>
        <w:rPr>
          <w:rFonts w:ascii="Times New Roman" w:hAnsi="Times New Roman"/>
          <w:sz w:val="26"/>
        </w:rPr>
        <w:t xml:space="preserve"> Главная цель работы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омисси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– координация и обеспечение взаимодействия исполнительных органов государственной власти и контрольно-надзорных органов </w:t>
      </w:r>
      <w:r>
        <w:rPr>
          <w:rFonts w:ascii="Times New Roman" w:hAnsi="Times New Roman"/>
          <w:sz w:val="26"/>
        </w:rPr>
        <w:t xml:space="preserve">в целях </w:t>
      </w:r>
      <w:r>
        <w:rPr>
          <w:rFonts w:ascii="Times New Roman" w:hAnsi="Times New Roman"/>
          <w:sz w:val="26"/>
        </w:rPr>
        <w:t xml:space="preserve">эффективного </w:t>
      </w:r>
      <w:r>
        <w:rPr>
          <w:rFonts w:ascii="Times New Roman" w:hAnsi="Times New Roman"/>
          <w:sz w:val="26"/>
        </w:rPr>
        <w:t>противодействи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нелегальной занятости в Камчатском крае.</w:t>
      </w:r>
    </w:p>
    <w:p w14:paraId="0A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реализации указанной цели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z w:val="26"/>
        </w:rPr>
        <w:t>омисси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получил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 право запрашивать у 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ФНС </w:t>
      </w:r>
      <w:r>
        <w:rPr>
          <w:rFonts w:ascii="Times New Roman" w:hAnsi="Times New Roman"/>
          <w:sz w:val="26"/>
        </w:rPr>
        <w:t>по Камчатскому краю</w:t>
      </w:r>
      <w:r>
        <w:rPr>
          <w:rFonts w:ascii="Times New Roman" w:hAnsi="Times New Roman"/>
          <w:sz w:val="26"/>
        </w:rPr>
        <w:t xml:space="preserve"> и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других ведомств</w:t>
      </w:r>
      <w:r>
        <w:rPr>
          <w:rFonts w:ascii="Times New Roman" w:hAnsi="Times New Roman"/>
          <w:sz w:val="26"/>
        </w:rPr>
        <w:t>ах</w:t>
      </w:r>
      <w:r>
        <w:rPr>
          <w:rFonts w:ascii="Times New Roman" w:hAnsi="Times New Roman"/>
          <w:sz w:val="26"/>
        </w:rPr>
        <w:t xml:space="preserve"> сведения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работодателях, в деятельности которых имеются те или иные индикаторы нелегальной занятости, включая персональные данные работников и сведения, составляющие налоговую тайну (ч. 5 ст.70 Федерального закона от 12.12.2023 № 565-ФЗ).</w:t>
      </w:r>
    </w:p>
    <w:p w14:paraId="0B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целях работы на местах в том числе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z w:val="26"/>
        </w:rPr>
        <w:t xml:space="preserve"> выявлени</w:t>
      </w:r>
      <w:r>
        <w:rPr>
          <w:rFonts w:ascii="Times New Roman" w:hAnsi="Times New Roman"/>
          <w:sz w:val="26"/>
        </w:rPr>
        <w:t>ю</w:t>
      </w:r>
      <w:r>
        <w:rPr>
          <w:rFonts w:ascii="Times New Roman" w:hAnsi="Times New Roman"/>
          <w:sz w:val="26"/>
        </w:rPr>
        <w:t xml:space="preserve"> признаков неформальной занятости в основных муниципальных образованиях региона образуются </w:t>
      </w:r>
      <w:r>
        <w:rPr>
          <w:rFonts w:ascii="Times New Roman" w:hAnsi="Times New Roman"/>
          <w:sz w:val="26"/>
        </w:rPr>
        <w:t>рабочи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групп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межведомственной комиссии Камчатского края по противодействию нелегальной занятости. </w:t>
      </w:r>
      <w:r>
        <w:rPr>
          <w:rFonts w:ascii="Times New Roman" w:hAnsi="Times New Roman"/>
          <w:sz w:val="26"/>
        </w:rPr>
        <w:t>Указанные рабочие группы создаются в: Алеутском МО; Быстринском МО;  Вилючинском ГО; ГО «поселок Палана»; Елизовском МР; Карагинском МР; Мильковском МО; Олюторском МР;  Пенжинском МР; Петропавловск-Камчатском ГО; Соболевском МР; Тигильском МО; Усть-Большерецком МР; Усть-Камчатском МО.</w:t>
      </w:r>
    </w:p>
    <w:p w14:paraId="0C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договоры, прикрывает трудовые отношения гражданско-правовыми договорами </w:t>
      </w:r>
      <w:r>
        <w:rPr>
          <w:rFonts w:ascii="Times New Roman" w:hAnsi="Times New Roman"/>
          <w:sz w:val="26"/>
        </w:rPr>
        <w:t>и которыми теперь руководствуются указанные рабочие группы и Государственная инспекция труда в Камчатском крае.</w:t>
      </w:r>
    </w:p>
    <w:p w14:paraId="0D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Признаки теневой занятости и перечень сведений, передаваемых налоговыми органами в комиссии по противодействию нелегальной занятости, установлены в соответствии с приказом Минтруда </w:t>
      </w:r>
      <w:r>
        <w:rPr>
          <w:rFonts w:ascii="Times New Roman" w:hAnsi="Times New Roman"/>
          <w:sz w:val="26"/>
        </w:rPr>
        <w:t xml:space="preserve">России </w:t>
      </w:r>
      <w:r>
        <w:rPr>
          <w:rFonts w:ascii="Times New Roman" w:hAnsi="Times New Roman"/>
          <w:sz w:val="26"/>
        </w:rPr>
        <w:t xml:space="preserve">от 02.02.2024 № 40н. </w:t>
      </w:r>
    </w:p>
    <w:p w14:paraId="0E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0F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10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Признаки нелегальной занятости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(</w:t>
      </w:r>
      <w:r>
        <w:rPr>
          <w:rFonts w:ascii="Times New Roman" w:hAnsi="Times New Roman"/>
          <w:b w:val="1"/>
          <w:sz w:val="26"/>
        </w:rPr>
        <w:t xml:space="preserve"> в соответствии с приказом Минтруда России от 02.02.2024 № 40н</w:t>
      </w:r>
      <w:r>
        <w:rPr>
          <w:rFonts w:ascii="Times New Roman" w:hAnsi="Times New Roman"/>
          <w:b w:val="1"/>
          <w:sz w:val="26"/>
        </w:rPr>
        <w:t>)</w:t>
      </w:r>
    </w:p>
    <w:p w14:paraId="11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</w:p>
    <w:p w14:paraId="12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 w:val="0"/>
          <w:sz w:val="26"/>
        </w:rPr>
        <w:tab/>
      </w:r>
      <w:r>
        <w:rPr>
          <w:rFonts w:ascii="Times New Roman" w:hAnsi="Times New Roman"/>
          <w:i w:val="0"/>
          <w:sz w:val="26"/>
        </w:rPr>
        <w:t xml:space="preserve">С 1 марта 2024 года о нелегальной занятости свидетельствуют следующие признаки: </w:t>
      </w:r>
    </w:p>
    <w:p w14:paraId="13000000">
      <w:pPr>
        <w:pStyle w:val="Style_1"/>
        <w:numPr>
          <w:ilvl w:val="0"/>
          <w:numId w:val="1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 w:val="0"/>
          <w:sz w:val="26"/>
        </w:rPr>
        <w:t>выплата заработной платы в размере ниже МРОТ более 10 работникам, если доля таких работников составляет не менее 10% от общего числа сотрудников (доплаты и выплаты в пользу работников по гражданско-правовым договорам в расчет не берутся);</w:t>
      </w:r>
    </w:p>
    <w:p w14:paraId="14000000">
      <w:pPr>
        <w:pStyle w:val="Style_1"/>
        <w:numPr>
          <w:ilvl w:val="0"/>
          <w:numId w:val="1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 w:val="0"/>
          <w:sz w:val="26"/>
        </w:rPr>
        <w:t>наличие более 10 заключенных договоров с самозанятыми физлицами, применяющими специальный налоговый режим «Налог на профессиональный доход», среднемесячный доход которых превышает 20 000 рублей и средняя продолжительность работы которых в компании составляет более 3 месяцев за год;</w:t>
      </w:r>
    </w:p>
    <w:p w14:paraId="15000000">
      <w:pPr>
        <w:pStyle w:val="Style_1"/>
        <w:numPr>
          <w:ilvl w:val="0"/>
          <w:numId w:val="1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 w:val="0"/>
          <w:sz w:val="26"/>
        </w:rPr>
        <w:t>отклонение среднемесячной заработной платы, выплачиваемой работникам, от среднеотраслевой заработной платы по региону более чем на 35%.;</w:t>
      </w:r>
    </w:p>
    <w:p w14:paraId="16000000">
      <w:pPr>
        <w:pStyle w:val="Style_1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i w:val="0"/>
        </w:rPr>
      </w:pPr>
    </w:p>
    <w:p w14:paraId="17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организация или ИП будут иметь в своей деятельности хотя бы один из </w:t>
      </w:r>
      <w:r>
        <w:rPr>
          <w:rFonts w:ascii="Times New Roman" w:hAnsi="Times New Roman"/>
          <w:sz w:val="26"/>
        </w:rPr>
        <w:t xml:space="preserve">пер численных </w:t>
      </w:r>
      <w:r>
        <w:rPr>
          <w:rFonts w:ascii="Times New Roman" w:hAnsi="Times New Roman"/>
          <w:sz w:val="26"/>
        </w:rPr>
        <w:t xml:space="preserve">признаков нелегальной занятости,  информацию о таких работодателях </w:t>
      </w:r>
      <w:r>
        <w:rPr>
          <w:rFonts w:ascii="Times New Roman" w:hAnsi="Times New Roman"/>
          <w:sz w:val="26"/>
        </w:rPr>
        <w:t>налоговая служба</w:t>
      </w:r>
      <w:r>
        <w:rPr>
          <w:rFonts w:ascii="Times New Roman" w:hAnsi="Times New Roman"/>
          <w:sz w:val="26"/>
        </w:rPr>
        <w:t xml:space="preserve"> переда</w:t>
      </w:r>
      <w:r>
        <w:rPr>
          <w:rFonts w:ascii="Times New Roman" w:hAnsi="Times New Roman"/>
          <w:sz w:val="26"/>
        </w:rPr>
        <w:t>ст</w:t>
      </w:r>
      <w:r>
        <w:rPr>
          <w:rFonts w:ascii="Times New Roman" w:hAnsi="Times New Roman"/>
          <w:sz w:val="26"/>
        </w:rPr>
        <w:t xml:space="preserve"> в Роструд и комиссию по противодействию нелегальной занятости.  </w:t>
      </w:r>
    </w:p>
    <w:p w14:paraId="18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составе сведений в комиссии будут передавать данные о наименовании компании, которая потенциально нарушает ТК РФ, ее ОГРН, ОГРНИП, ИНН, КПП, адрес места нахождения, контактные данные, сведения о работниках и исполнителях по договорам ГПХ и величине их заработка.</w:t>
      </w:r>
    </w:p>
    <w:p w14:paraId="19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основании всех этих сведений будут </w:t>
      </w:r>
      <w:r>
        <w:rPr>
          <w:rFonts w:ascii="Times New Roman" w:hAnsi="Times New Roman"/>
          <w:sz w:val="26"/>
        </w:rPr>
        <w:t>решатся вопросы о</w:t>
      </w:r>
      <w:r>
        <w:rPr>
          <w:rFonts w:ascii="Times New Roman" w:hAnsi="Times New Roman"/>
          <w:sz w:val="26"/>
        </w:rPr>
        <w:t xml:space="preserve"> проверк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работодателей на предмет </w:t>
      </w:r>
      <w:r>
        <w:rPr>
          <w:rFonts w:ascii="Times New Roman" w:hAnsi="Times New Roman"/>
          <w:sz w:val="26"/>
        </w:rPr>
        <w:t>подтверждения</w:t>
      </w:r>
      <w:r>
        <w:rPr>
          <w:rFonts w:ascii="Times New Roman" w:hAnsi="Times New Roman"/>
          <w:sz w:val="26"/>
        </w:rPr>
        <w:t xml:space="preserve"> фактов теневой занятости </w:t>
      </w:r>
      <w:r>
        <w:rPr>
          <w:rFonts w:ascii="Times New Roman" w:hAnsi="Times New Roman"/>
          <w:sz w:val="26"/>
        </w:rPr>
        <w:t xml:space="preserve">и принятия </w:t>
      </w:r>
      <w:r>
        <w:rPr>
          <w:rFonts w:ascii="Times New Roman" w:hAnsi="Times New Roman"/>
          <w:sz w:val="26"/>
        </w:rPr>
        <w:t xml:space="preserve">соответствующих </w:t>
      </w:r>
      <w:r>
        <w:rPr>
          <w:rFonts w:ascii="Times New Roman" w:hAnsi="Times New Roman"/>
          <w:sz w:val="26"/>
        </w:rPr>
        <w:t>мер реагирования.</w:t>
      </w:r>
    </w:p>
    <w:p w14:paraId="1A000000">
      <w:pPr>
        <w:pStyle w:val="Style_1"/>
        <w:numPr>
          <w:ilvl w:val="0"/>
          <w:numId w:val="0"/>
        </w:numPr>
        <w:spacing w:after="0" w:before="0" w:line="240" w:lineRule="auto"/>
        <w:ind w:firstLine="567" w:left="0" w:right="0"/>
        <w:outlineLvl w:val="0"/>
        <w:rPr>
          <w:rFonts w:ascii="Times New Roman" w:hAnsi="Times New Roman"/>
          <w:b w:val="1"/>
          <w:sz w:val="26"/>
        </w:rPr>
      </w:pPr>
    </w:p>
    <w:p w14:paraId="1B000000">
      <w:pPr>
        <w:pStyle w:val="Style_1"/>
        <w:numPr>
          <w:ilvl w:val="0"/>
          <w:numId w:val="0"/>
        </w:numPr>
        <w:spacing w:after="0" w:before="0" w:line="240" w:lineRule="auto"/>
        <w:ind w:firstLine="567" w:left="0" w:right="0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Ответственность работодателей</w:t>
      </w:r>
    </w:p>
    <w:p w14:paraId="1C000000">
      <w:pPr>
        <w:pStyle w:val="Style_2"/>
        <w:spacing w:after="0" w:before="0"/>
        <w:ind w:firstLine="567" w:left="0" w:right="0"/>
        <w:jc w:val="both"/>
        <w:rPr>
          <w:sz w:val="26"/>
        </w:rPr>
      </w:pPr>
      <w:r>
        <w:rPr>
          <w:sz w:val="26"/>
        </w:rPr>
        <w:t xml:space="preserve">Если будут выявлены факты теневой занятости, то работодателя привлекут к ответственности по ч. 4 ст. 5.27 КоАП РФ за уклонение от оформления или ненадлежащее оформление трудового договора, либо заключение гражданско-правового договора, фактически регулирующего трудовые отношения. Данное нарушение грозит ИП штрафом в размере от 5 000 до 10 000 рублей, должностным лицам организаций – от 10 000 до 20 000 рублей, а организациям – от 50 000 до 100 000 рублей. </w:t>
      </w:r>
    </w:p>
    <w:p w14:paraId="1D000000">
      <w:pPr>
        <w:pStyle w:val="Style_2"/>
        <w:spacing w:after="0" w:before="0"/>
        <w:ind w:firstLine="567" w:left="0" w:right="0"/>
        <w:jc w:val="both"/>
        <w:rPr>
          <w:sz w:val="26"/>
        </w:rPr>
      </w:pPr>
      <w:r>
        <w:rPr>
          <w:sz w:val="26"/>
        </w:rPr>
        <w:t xml:space="preserve">За выплату сотрудникам зарплаты ниже МРОТ работодателей оштрафуют по ч. 6 ст. 5.27 КоАП РФ. Штраф для ИП назначат в размере от 1 000 до 5 000 рублей, а для организаций - от 30 000 до 50 000 рублей. </w:t>
      </w:r>
    </w:p>
    <w:p w14:paraId="1E000000">
      <w:pPr>
        <w:pStyle w:val="Style_2"/>
        <w:spacing w:after="0" w:before="0"/>
        <w:ind w:firstLine="567" w:left="0" w:right="0"/>
        <w:jc w:val="both"/>
        <w:rPr>
          <w:sz w:val="26"/>
        </w:rPr>
      </w:pPr>
      <w:r>
        <w:rPr>
          <w:sz w:val="26"/>
        </w:rPr>
        <w:t xml:space="preserve">Также работодателей могут привлечь к налоговой ответственности по ст. 123 НК РФ за неполное удержание и перечисление в бюджет сумм НДФЛ, подлежащих перечислению налоговым агентом. Штраф составит 20% от суммы, подлежащей удержанию и перечислению в бюджет. </w:t>
      </w:r>
    </w:p>
    <w:p w14:paraId="1F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(ч. 6 ст. 67 Федерального закона от 12.12.2023 № 565-ФЗ).</w:t>
      </w:r>
    </w:p>
    <w:p w14:paraId="20000000">
      <w:pPr>
        <w:pStyle w:val="Style_1"/>
        <w:numPr>
          <w:ilvl w:val="0"/>
          <w:numId w:val="0"/>
        </w:numPr>
        <w:spacing w:after="0" w:before="0" w:line="240" w:lineRule="auto"/>
        <w:ind w:firstLine="567" w:left="0" w:right="0"/>
        <w:jc w:val="both"/>
        <w:outlineLvl w:val="0"/>
        <w:rPr>
          <w:rFonts w:ascii="Times New Roman" w:hAnsi="Times New Roman"/>
          <w:sz w:val="26"/>
        </w:rPr>
      </w:pPr>
    </w:p>
    <w:p w14:paraId="21000000">
      <w:pPr>
        <w:pStyle w:val="Style_1"/>
        <w:numPr>
          <w:ilvl w:val="0"/>
          <w:numId w:val="0"/>
        </w:numPr>
        <w:spacing w:after="0" w:before="0" w:line="240" w:lineRule="auto"/>
        <w:ind w:firstLine="567" w:left="0" w:right="0"/>
        <w:jc w:val="both"/>
        <w:outlineLvl w:val="0"/>
        <w:rPr>
          <w:b w:val="1"/>
        </w:rPr>
      </w:pP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6"/>
        </w:rPr>
        <w:t>Что делать работнику!</w:t>
      </w:r>
    </w:p>
    <w:p w14:paraId="22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Если трудовой договор не был оформлен надлежащим образом, но при этом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  трех рабочих дней со дня фактического допущения к работе оформить трудовой договор в письменной форме (часть третья статьи 16, часть вторая статьи 67 ТК РФ) Невыполнение данной обязанности в названный срок свидетельствует об уклонении работодателя от  оформления трудового договора.</w:t>
      </w:r>
    </w:p>
    <w:p w14:paraId="23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В данном случае работник может обратится </w:t>
      </w:r>
      <w:r>
        <w:rPr>
          <w:rFonts w:ascii="Times New Roman" w:hAnsi="Times New Roman"/>
          <w:sz w:val="26"/>
        </w:rPr>
        <w:t xml:space="preserve">в письменном виде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желательно с приложением доказательств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муниципальную р</w:t>
      </w:r>
      <w:r>
        <w:rPr>
          <w:rFonts w:ascii="Times New Roman" w:hAnsi="Times New Roman"/>
          <w:sz w:val="26"/>
        </w:rPr>
        <w:t xml:space="preserve">абочую группу межведомственной комиссии Камчатского края по противодействию нелегальной занятости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по месту осуществления своей трудовой деятельности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либо в Государственную инспекцию труда в Камчатском крае  (</w:t>
      </w:r>
      <w:r>
        <w:rPr>
          <w:rFonts w:ascii="Times New Roman" w:hAnsi="Times New Roman"/>
          <w:sz w:val="26"/>
        </w:rPr>
        <w:t>можно</w:t>
      </w:r>
      <w:r>
        <w:rPr>
          <w:rFonts w:ascii="Times New Roman" w:hAnsi="Times New Roman"/>
          <w:sz w:val="26"/>
        </w:rPr>
        <w:t xml:space="preserve"> обратиться через единую информационную систему Роструда: https://онлайнинспекция.рф/, через сайт Госуслуг</w:t>
      </w:r>
      <w:r>
        <w:rPr>
          <w:rFonts w:ascii="Times New Roman" w:hAnsi="Times New Roman"/>
          <w:sz w:val="26"/>
        </w:rPr>
        <w:t>, или в прокуратуру по месту нахождения работодателя.</w:t>
      </w:r>
    </w:p>
    <w:p w14:paraId="24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Доказательствами трудовых правоотношений являются любые фактические данные, на основании которых устанавливается факт наличия между работником и работодателем трудовых отношений, а именно личного выполнения работником за плату трудовой функции, в том числе дистанционно, в интересах, под управлением и контролем работодателя, а также иные обстоятельства, имеющие значение для правильного разрешения дела, включая постоянный характер сложившихся отношений (статьи 15, 56 ТК РФ).</w:t>
      </w:r>
    </w:p>
    <w:p w14:paraId="25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 таким доказательствам в частности, могут быть отнесены: объяснения лица, показания лица, фактически допущенного к работе, и свидетелей, письменные доказательства (в частности, оформленный лицу, фактически допущенному к работе, пропуск на территорию работодателя; журнал регистрации прихода-ухода работников на работу; графики работы (сменности); журнал вводного инструктажа об ознакомлении работника с техникой безопасности;  ведомости выдачи денежных средств, заполняемые или подписываемые лицом, фактически допущенным к работе; товарные накладные, счета-фактуры, путевые листы, заявки на перевозку груза, акты о выполненных работах; распоряжение (приказ) работодателя о списке сотрудников, выполняющих трудовую функцию дистанционно; переписка сторон, в том числе по электронной почте; электронные документы, систематический обмен которыми осуществляется между работником, работодателем, другими сотрудниками, в том числе при дистанционной работе посредством электронной почты, зарегистрированной на домене работодателя для  работника, либо удаленного доступа к рабочему столу служебного компьютера, документы, подтверждающие обмен задачами и результатами их  контроля  в сервисных программах, используемых работодателем; отчеты  в конце установленного рабочего дня и т.п.); вещественные  доказательства  (например, предоставленные при дистанционной работе работодателем работнику оборудование, программно-технические средства, средства защиты информации, которые находятся вне стационарного рабочего места, территории объекта, прямо или косвенно находящихся под контролем работодателя), материалы фото- и киносъемки, звуко- и видеозаписи. </w:t>
      </w:r>
    </w:p>
    <w:p w14:paraId="26000000">
      <w:pPr>
        <w:pStyle w:val="Style_1"/>
        <w:numPr>
          <w:ilvl w:val="0"/>
          <w:numId w:val="0"/>
        </w:numPr>
        <w:spacing w:after="0" w:before="0" w:line="240" w:lineRule="auto"/>
        <w:ind w:firstLine="567" w:left="0" w:righ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Уточнить указанные вопросы либо получить по ним дополнительную информацию можно на сайте Минтруда Камчатского края (https://www.kamgov.ru/agzanyat/neformalnaa-zanatost), по телефонам горячей линии </w:t>
      </w:r>
      <w:r>
        <w:rPr>
          <w:rFonts w:ascii="Times New Roman" w:hAnsi="Times New Roman"/>
          <w:sz w:val="26"/>
        </w:rPr>
        <w:t xml:space="preserve">(+7-415-2- 42-48-85 (доб. </w:t>
      </w:r>
      <w:r>
        <w:rPr>
          <w:rFonts w:ascii="Times New Roman" w:hAnsi="Times New Roman"/>
          <w:sz w:val="26"/>
        </w:rPr>
        <w:t>3631</w:t>
      </w:r>
      <w:r>
        <w:rPr>
          <w:rFonts w:ascii="Times New Roman" w:hAnsi="Times New Roman"/>
          <w:sz w:val="26"/>
        </w:rPr>
        <w:t xml:space="preserve">; </w:t>
      </w:r>
      <w:r>
        <w:rPr>
          <w:rFonts w:ascii="Times New Roman" w:hAnsi="Times New Roman"/>
          <w:sz w:val="26"/>
        </w:rPr>
        <w:t>3636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 xml:space="preserve"> или в Государственной инспекции труда в Камчатском крае по телефону:  </w:t>
      </w:r>
      <w:r>
        <w:rPr>
          <w:rFonts w:ascii="Times New Roman" w:hAnsi="Times New Roman"/>
          <w:sz w:val="26"/>
        </w:rPr>
        <w:t>8-909-892-05-40.</w:t>
      </w:r>
    </w:p>
    <w:p w14:paraId="27000000">
      <w:pPr>
        <w:pStyle w:val="Style_1"/>
        <w:numPr>
          <w:ilvl w:val="0"/>
          <w:numId w:val="0"/>
        </w:numPr>
        <w:spacing w:after="0" w:before="0" w:line="240" w:lineRule="auto"/>
        <w:ind w:firstLine="567" w:left="0" w:right="0"/>
        <w:jc w:val="both"/>
        <w:outlineLvl w:val="0"/>
        <w:rPr>
          <w:rFonts w:ascii="Times New Roman" w:hAnsi="Times New Roman"/>
          <w:b w:val="1"/>
          <w:sz w:val="26"/>
        </w:rPr>
      </w:pPr>
    </w:p>
    <w:p w14:paraId="28000000">
      <w:pPr>
        <w:pStyle w:val="Style_1"/>
        <w:numPr>
          <w:ilvl w:val="0"/>
          <w:numId w:val="0"/>
        </w:numPr>
        <w:spacing w:after="0" w:before="0" w:line="240" w:lineRule="auto"/>
        <w:ind w:firstLine="567" w:left="0" w:right="0"/>
        <w:jc w:val="both"/>
        <w:outlineLvl w:val="0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Что делать работодателю!</w:t>
      </w:r>
    </w:p>
    <w:p w14:paraId="29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Чтобы избежать штрафов и попадания в реестр компаний-нарушителей, необходимо позаботиться о надлежащем и своевременном оформлении трудовых договоров со всеми сотрудниками, с которыми у работодателя фактически сложились трудовые отношения. </w:t>
      </w:r>
    </w:p>
    <w:p w14:paraId="2A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действующим правилам при фактическом выполнении сотрудником трудовой функции работодатель обязан оформить с ним трудовой договор в письменной форме не позднее 3 рабочих дней со дня фактического допущения сотрудника к работе (ст. 67 ТК РФ). Если с сотрудником вместо трудового договора заключен гражданско-правовой договор, то он не должен содержать в себе признаки трудового договора и не может прикрывать собой трудовые отношения.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 признакам трудовых отношений относятся (</w:t>
      </w:r>
      <w:r>
        <w:rPr>
          <w:rFonts w:ascii="Times New Roman" w:hAnsi="Times New Roman"/>
          <w:sz w:val="26"/>
        </w:rPr>
        <w:t xml:space="preserve">в соответствии с </w:t>
      </w:r>
      <w:r>
        <w:rPr>
          <w:rFonts w:ascii="Times New Roman" w:hAnsi="Times New Roman"/>
          <w:sz w:val="26"/>
        </w:rPr>
        <w:t>постановление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Пленума Верховного Cуда РФ от 29.05.2018 №15): </w:t>
      </w:r>
    </w:p>
    <w:p w14:paraId="2B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устойчивый и стабильный характер отношений между работодателем и сотрудником; </w:t>
      </w:r>
    </w:p>
    <w:p w14:paraId="2C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подчинение сотрудника правилам внутреннего трудового распорядка и графику работы; </w:t>
      </w:r>
    </w:p>
    <w:p w14:paraId="2D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выполнение работ на территории работодателя и на оборудовании, предоставленном работодателем; </w:t>
      </w:r>
    </w:p>
    <w:p w14:paraId="2E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обеспечение работодателем условий труда исполнителя, а также выдача ему инструментов, сырья, материалов, средств индивидуальной защиты; </w:t>
      </w:r>
    </w:p>
    <w:p w14:paraId="2F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получение вознаграждения за выполненную работу ежемесячно в одном и том же размере; </w:t>
      </w:r>
    </w:p>
    <w:p w14:paraId="30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выполнение сотрудником работы в соответствии с указаниями работодателя; </w:t>
      </w:r>
    </w:p>
    <w:p w14:paraId="31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оплата работодателем расходов, связанных с поездками работника в целях выполнения работы; </w:t>
      </w:r>
    </w:p>
    <w:p w14:paraId="32000000">
      <w:pPr>
        <w:pStyle w:val="Style_1"/>
        <w:numPr>
          <w:ilvl w:val="0"/>
          <w:numId w:val="2"/>
        </w:numPr>
        <w:spacing w:after="0" w:before="0" w:line="240" w:lineRule="auto"/>
        <w:ind w:hanging="360" w:left="72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выполнение работ на постоянной основе и др.</w:t>
      </w:r>
    </w:p>
    <w:p w14:paraId="33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договоры ГПХ, заключенные с сотрудниками, содержат в себе перечисленные признаки и действительно прикрывают трудовые отношения в целях налоговой оптимизации, то данные договоры лучше добровольно переквалифицировать в трудовые договоры, не дожидаясь проверок и штрафов от контролеров. </w:t>
      </w:r>
    </w:p>
    <w:p w14:paraId="34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этом заработная плата, выплачиваемая сотрудникам по трудовым договорам, не должна быть меньше действующего размера МРОТ </w:t>
      </w:r>
      <w:r>
        <w:rPr>
          <w:rFonts w:ascii="Times New Roman" w:hAnsi="Times New Roman"/>
          <w:sz w:val="26"/>
        </w:rPr>
        <w:t>информацию о котором можно уточнить на сайте Минтруда Камчатского края (https://www.kamgov.ru/agzanyat/oplata-truda) или по по телефону горячей линии: +7-415-2- 42-48-85 (доб. 3633).</w:t>
      </w:r>
    </w:p>
    <w:p w14:paraId="35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МРОТ нельзя включать районные коэффициенты и процентные надбавки за работу на Крайнем Севере, выплаты за сверхурочную работу, за работу в ночное время, за работу в выходные и нерабочие праздничные дни, а также доплаты за совмещение должностей и разовые премии. </w:t>
      </w:r>
    </w:p>
    <w:p w14:paraId="36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Помимо МРОТ,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(в сторону уменьшения) более чем на 35%. </w:t>
      </w:r>
    </w:p>
    <w:p w14:paraId="37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Что касается сотрудничества с самозанятыми, то законодательство не запрещает организациям и ИП привлекать к выполнению работ и оказанию услуг для собственных нужд плательщиков налога на профессиональный доход. В то же самое время такое сотрудничество </w:t>
      </w:r>
      <w:r>
        <w:rPr>
          <w:rFonts w:ascii="Times New Roman" w:hAnsi="Times New Roman"/>
          <w:color w:val="000000"/>
          <w:sz w:val="26"/>
          <w:u w:val="none"/>
        </w:rPr>
        <w:fldChar w:fldCharType="begin"/>
      </w:r>
      <w:r>
        <w:rPr>
          <w:rFonts w:ascii="Times New Roman" w:hAnsi="Times New Roman"/>
          <w:color w:val="000000"/>
          <w:sz w:val="26"/>
          <w:u w:val="none"/>
        </w:rPr>
        <w:instrText>HYPERLINK "https://buh.ru/articles/nelegalnoe-ispolzovanie-truda-samozanyatykh-skhemy-priznaki-i-posledstviya.html"</w:instrText>
      </w:r>
      <w:r>
        <w:rPr>
          <w:rFonts w:ascii="Times New Roman" w:hAnsi="Times New Roman"/>
          <w:color w:val="000000"/>
          <w:sz w:val="26"/>
          <w:u w:val="none"/>
        </w:rPr>
        <w:fldChar w:fldCharType="separate"/>
      </w:r>
      <w:r>
        <w:rPr>
          <w:rFonts w:ascii="Times New Roman" w:hAnsi="Times New Roman"/>
          <w:color w:val="000000"/>
          <w:sz w:val="26"/>
          <w:u w:val="none"/>
        </w:rPr>
        <w:t>не должно прикрывать собой фактически сложившиеся трудовые отношения</w:t>
      </w:r>
      <w:r>
        <w:rPr>
          <w:rFonts w:ascii="Times New Roman" w:hAnsi="Times New Roman"/>
          <w:color w:val="000000"/>
          <w:sz w:val="26"/>
          <w:u w:val="none"/>
        </w:rPr>
        <w:fldChar w:fldCharType="end"/>
      </w:r>
      <w:r>
        <w:rPr>
          <w:rFonts w:ascii="Times New Roman" w:hAnsi="Times New Roman"/>
          <w:color w:val="000000"/>
          <w:sz w:val="26"/>
          <w:u w:val="none"/>
        </w:rPr>
        <w:t xml:space="preserve">. </w:t>
      </w:r>
    </w:p>
    <w:p w14:paraId="38000000">
      <w:pPr>
        <w:pStyle w:val="Style_1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этой связи</w:t>
      </w:r>
      <w:r>
        <w:rPr>
          <w:rFonts w:ascii="Times New Roman" w:hAnsi="Times New Roman"/>
          <w:sz w:val="26"/>
        </w:rPr>
        <w:t xml:space="preserve"> если компания сотрудничает с большим количеством самозанятых (больше 10 человек) на протяжении более 3 месяцев в году, то выплаты в пользу самозанятых </w:t>
      </w:r>
      <w:r>
        <w:rPr>
          <w:rFonts w:ascii="Times New Roman" w:hAnsi="Times New Roman"/>
          <w:sz w:val="26"/>
        </w:rPr>
        <w:t>должны быть</w:t>
      </w:r>
      <w:r>
        <w:rPr>
          <w:rFonts w:ascii="Times New Roman" w:hAnsi="Times New Roman"/>
          <w:sz w:val="26"/>
        </w:rPr>
        <w:t xml:space="preserve"> суммой </w:t>
      </w:r>
      <w:r>
        <w:rPr>
          <w:rFonts w:ascii="Times New Roman" w:hAnsi="Times New Roman"/>
          <w:sz w:val="26"/>
        </w:rPr>
        <w:t>не более</w:t>
      </w:r>
      <w:r>
        <w:rPr>
          <w:rFonts w:ascii="Times New Roman" w:hAnsi="Times New Roman"/>
          <w:sz w:val="26"/>
        </w:rPr>
        <w:t xml:space="preserve"> 20 000 рублей в месяц (приказ Минтруда от 02.02.2024 № 40н). В противном случае есть риск переквалификации договоров с самозанятыми в трудовые договоры с последующим доначислением работодателю налогов и страховых взносов.  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next w:val="Style_1"/>
    <w:link w:val="Style_3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Указатель"/>
    <w:basedOn w:val="Style_1"/>
    <w:link w:val="Style_4_ch"/>
  </w:style>
  <w:style w:styleId="Style_4_ch" w:type="character">
    <w:name w:val="Указатель"/>
    <w:basedOn w:val="Style_1_ch"/>
    <w:link w:val="Style_4"/>
  </w:style>
  <w:style w:styleId="Style_5" w:type="paragraph">
    <w:name w:val="toc 4"/>
    <w:next w:val="Style_1"/>
    <w:link w:val="Style_5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ody Text"/>
    <w:basedOn w:val="Style_1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1_ch"/>
    <w:link w:val="Style_6"/>
  </w:style>
  <w:style w:styleId="Style_7" w:type="paragraph">
    <w:name w:val="toc 6"/>
    <w:next w:val="Style_1"/>
    <w:link w:val="Style_7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rating_number"/>
    <w:basedOn w:val="Style_10"/>
    <w:link w:val="Style_9_ch"/>
  </w:style>
  <w:style w:styleId="Style_9_ch" w:type="character">
    <w:name w:val="rating_number"/>
    <w:basedOn w:val="Style_10_ch"/>
    <w:link w:val="Style_9"/>
  </w:style>
  <w:style w:styleId="Style_11" w:type="paragraph">
    <w:name w:val="look_number"/>
    <w:basedOn w:val="Style_10"/>
    <w:link w:val="Style_11_ch"/>
  </w:style>
  <w:style w:styleId="Style_11_ch" w:type="character">
    <w:name w:val="look_number"/>
    <w:basedOn w:val="Style_10_ch"/>
    <w:link w:val="Style_11"/>
  </w:style>
  <w:style w:styleId="Style_12" w:type="paragraph">
    <w:name w:val="Title"/>
    <w:next w:val="Style_1"/>
    <w:link w:val="Style_12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2_ch" w:type="character">
    <w:name w:val="Title"/>
    <w:link w:val="Style_12"/>
    <w:rPr>
      <w:rFonts w:ascii="XO Thames" w:hAnsi="XO Thames"/>
      <w:b w:val="1"/>
      <w:caps w:val="1"/>
      <w:color w:val="000000"/>
      <w:spacing w:val="0"/>
      <w:sz w:val="40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Internet link"/>
    <w:basedOn w:val="Style_10"/>
    <w:link w:val="Style_14_ch"/>
    <w:rPr>
      <w:color w:val="0000FF"/>
      <w:u w:val="single"/>
    </w:rPr>
  </w:style>
  <w:style w:styleId="Style_14_ch" w:type="character">
    <w:name w:val="Internet link"/>
    <w:basedOn w:val="Style_10_ch"/>
    <w:link w:val="Style_14"/>
    <w:rPr>
      <w:color w:val="0000FF"/>
      <w:u w:val="single"/>
    </w:rPr>
  </w:style>
  <w:style w:styleId="Style_15" w:type="paragraph">
    <w:name w:val="Heading 1"/>
    <w:link w:val="Style_15_ch"/>
    <w:rPr>
      <w:rFonts w:ascii="Times New Roman" w:hAnsi="Times New Roman"/>
      <w:b w:val="1"/>
      <w:sz w:val="48"/>
    </w:rPr>
  </w:style>
  <w:style w:styleId="Style_15_ch" w:type="character">
    <w:name w:val="Heading 1"/>
    <w:link w:val="Style_15"/>
    <w:rPr>
      <w:rFonts w:ascii="Times New Roman" w:hAnsi="Times New Roman"/>
      <w:b w:val="1"/>
      <w:sz w:val="48"/>
    </w:rPr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Contents 6"/>
    <w:link w:val="Style_17_ch"/>
    <w:rPr>
      <w:rFonts w:ascii="XO Thames" w:hAnsi="XO Thames"/>
      <w:sz w:val="28"/>
    </w:rPr>
  </w:style>
  <w:style w:styleId="Style_17_ch" w:type="character">
    <w:name w:val="Contents 6"/>
    <w:link w:val="Style_17"/>
    <w:rPr>
      <w:rFonts w:ascii="XO Thames" w:hAnsi="XO Thames"/>
      <w:sz w:val="28"/>
    </w:rPr>
  </w:style>
  <w:style w:styleId="Style_18" w:type="paragraph">
    <w:name w:val="toc 3"/>
    <w:next w:val="Style_1"/>
    <w:link w:val="Style_18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List"/>
    <w:basedOn w:val="Style_6"/>
    <w:link w:val="Style_19_ch"/>
  </w:style>
  <w:style w:styleId="Style_19_ch" w:type="character">
    <w:name w:val="List"/>
    <w:basedOn w:val="Style_6_ch"/>
    <w:link w:val="Style_19"/>
  </w:style>
  <w:style w:styleId="Style_20" w:type="paragraph">
    <w:name w:val="heading 5"/>
    <w:next w:val="Style_1"/>
    <w:link w:val="Style_2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Колонтитул"/>
    <w:link w:val="Style_21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_ch" w:type="character">
    <w:name w:val="Колонтитул"/>
    <w:link w:val="Style_21"/>
    <w:rPr>
      <w:rFonts w:ascii="XO Thames" w:hAnsi="XO Thames"/>
      <w:color w:val="000000"/>
      <w:spacing w:val="0"/>
      <w:sz w:val="20"/>
    </w:rPr>
  </w:style>
  <w:style w:styleId="Style_22" w:type="paragraph">
    <w:name w:val="Заголовок"/>
    <w:basedOn w:val="Style_1"/>
    <w:next w:val="Style_6"/>
    <w:link w:val="Style_22_ch"/>
    <w:pPr>
      <w:keepNext w:val="1"/>
      <w:spacing w:after="120" w:before="240"/>
      <w:ind/>
    </w:pPr>
    <w:rPr>
      <w:rFonts w:ascii="Open Sans" w:hAnsi="Open Sans"/>
      <w:sz w:val="28"/>
    </w:rPr>
  </w:style>
  <w:style w:styleId="Style_22_ch" w:type="character">
    <w:name w:val="Заголовок"/>
    <w:basedOn w:val="Style_1_ch"/>
    <w:link w:val="Style_22"/>
    <w:rPr>
      <w:rFonts w:ascii="Open Sans" w:hAnsi="Open Sans"/>
      <w:sz w:val="28"/>
    </w:rPr>
  </w:style>
  <w:style w:styleId="Style_23" w:type="paragraph">
    <w:name w:val="heading 1"/>
    <w:basedOn w:val="Style_1"/>
    <w:link w:val="Style_2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3_ch" w:type="character">
    <w:name w:val="heading 1"/>
    <w:basedOn w:val="Style_1_ch"/>
    <w:link w:val="Style_23"/>
    <w:rPr>
      <w:rFonts w:ascii="Times New Roman" w:hAnsi="Times New Roman"/>
      <w:b w:val="1"/>
      <w:sz w:val="48"/>
    </w:rPr>
  </w:style>
  <w:style w:styleId="Style_2" w:type="paragraph">
    <w:name w:val="Normal (Web)"/>
    <w:basedOn w:val="Style_1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1_ch"/>
    <w:link w:val="Style_2"/>
    <w:rPr>
      <w:rFonts w:ascii="Times New Roman" w:hAnsi="Times New Roman"/>
      <w:sz w:val="24"/>
    </w:rPr>
  </w:style>
  <w:style w:styleId="Style_24" w:type="paragraph">
    <w:name w:val="Contents 2"/>
    <w:link w:val="Style_24_ch"/>
    <w:rPr>
      <w:rFonts w:ascii="XO Thames" w:hAnsi="XO Thames"/>
      <w:sz w:val="28"/>
    </w:rPr>
  </w:style>
  <w:style w:styleId="Style_24_ch" w:type="character">
    <w:name w:val="Contents 2"/>
    <w:link w:val="Style_24"/>
    <w:rPr>
      <w:rFonts w:ascii="XO Thames" w:hAnsi="XO Thames"/>
      <w:sz w:val="28"/>
    </w:rPr>
  </w:style>
  <w:style w:styleId="Style_10" w:type="paragraph">
    <w:name w:val="Default Paragraph Font"/>
    <w:link w:val="Style_1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_ch" w:type="character">
    <w:name w:val="Default Paragraph Font"/>
    <w:link w:val="Style_10"/>
    <w:rPr>
      <w:rFonts w:asciiTheme="minorAscii" w:hAnsiTheme="minorHAnsi"/>
      <w:color w:val="000000"/>
      <w:spacing w:val="0"/>
      <w:sz w:val="22"/>
    </w:rPr>
  </w:style>
  <w:style w:styleId="Style_25" w:type="paragraph">
    <w:name w:val="Hyperlink"/>
    <w:basedOn w:val="Style_10"/>
    <w:link w:val="Style_25_ch"/>
    <w:rPr>
      <w:color w:val="0000FF"/>
      <w:u w:val="single"/>
    </w:rPr>
  </w:style>
  <w:style w:styleId="Style_25_ch" w:type="character">
    <w:name w:val="Hyperlink"/>
    <w:basedOn w:val="Style_10_ch"/>
    <w:link w:val="Style_25"/>
    <w:rPr>
      <w:color w:val="0000FF"/>
      <w:u w:val="single"/>
    </w:rPr>
  </w:style>
  <w:style w:styleId="Style_26" w:type="paragraph">
    <w:name w:val="Footnote"/>
    <w:link w:val="Style_26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_ch" w:type="character">
    <w:name w:val="Footnote"/>
    <w:link w:val="Style_26"/>
    <w:rPr>
      <w:rFonts w:ascii="XO Thames" w:hAnsi="XO Thames"/>
      <w:color w:val="000000"/>
      <w:spacing w:val="0"/>
      <w:sz w:val="22"/>
    </w:rPr>
  </w:style>
  <w:style w:styleId="Style_27" w:type="paragraph">
    <w:name w:val="toc 1"/>
    <w:next w:val="Style_1"/>
    <w:link w:val="Style_27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toc 1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Heading 4"/>
    <w:link w:val="Style_28_ch"/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er and Footer"/>
    <w:link w:val="Style_29_ch"/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tents 5"/>
    <w:link w:val="Style_30_ch"/>
    <w:rPr>
      <w:rFonts w:ascii="XO Thames" w:hAnsi="XO Thames"/>
      <w:sz w:val="28"/>
    </w:rPr>
  </w:style>
  <w:style w:styleId="Style_30_ch" w:type="character">
    <w:name w:val="Contents 5"/>
    <w:link w:val="Style_30"/>
    <w:rPr>
      <w:rFonts w:ascii="XO Thames" w:hAnsi="XO Thames"/>
      <w:sz w:val="28"/>
    </w:rPr>
  </w:style>
  <w:style w:styleId="Style_31" w:type="paragraph">
    <w:name w:val="toc 9"/>
    <w:next w:val="Style_1"/>
    <w:link w:val="Style_31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9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Heading 5"/>
    <w:link w:val="Style_32_ch"/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Subtitle"/>
    <w:next w:val="Style_1"/>
    <w:link w:val="Style_33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000000"/>
      <w:spacing w:val="0"/>
      <w:sz w:val="24"/>
    </w:rPr>
  </w:style>
  <w:style w:styleId="Style_34" w:type="paragraph">
    <w:name w:val="toc 8"/>
    <w:next w:val="Style_1"/>
    <w:link w:val="Style_34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toc 5"/>
    <w:next w:val="Style_1"/>
    <w:link w:val="Style_35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5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8"/>
    <w:link w:val="Style_36_ch"/>
    <w:rPr>
      <w:rFonts w:ascii="XO Thames" w:hAnsi="XO Thames"/>
      <w:sz w:val="28"/>
    </w:rPr>
  </w:style>
  <w:style w:styleId="Style_36_ch" w:type="character">
    <w:name w:val="Contents 8"/>
    <w:link w:val="Style_36"/>
    <w:rPr>
      <w:rFonts w:ascii="XO Thames" w:hAnsi="XO Thames"/>
      <w:sz w:val="28"/>
    </w:rPr>
  </w:style>
  <w:style w:styleId="Style_37" w:type="paragraph">
    <w:name w:val="Heading 3"/>
    <w:link w:val="Style_37_ch"/>
    <w:rPr>
      <w:rFonts w:ascii="XO Thames" w:hAnsi="XO Thames"/>
      <w:b w:val="1"/>
      <w:sz w:val="26"/>
    </w:rPr>
  </w:style>
  <w:style w:styleId="Style_37_ch" w:type="character">
    <w:name w:val="Heading 3"/>
    <w:link w:val="Style_37"/>
    <w:rPr>
      <w:rFonts w:ascii="XO Thames" w:hAnsi="XO Thames"/>
      <w:b w:val="1"/>
      <w:sz w:val="26"/>
    </w:rPr>
  </w:style>
  <w:style w:styleId="Style_38" w:type="paragraph">
    <w:name w:val="Heading 2"/>
    <w:link w:val="Style_38_ch"/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Caption"/>
    <w:basedOn w:val="Style_1"/>
    <w:link w:val="Style_39_ch"/>
    <w:pPr>
      <w:spacing w:after="120" w:before="120"/>
      <w:ind/>
    </w:pPr>
    <w:rPr>
      <w:i w:val="1"/>
      <w:sz w:val="24"/>
    </w:rPr>
  </w:style>
  <w:style w:styleId="Style_39_ch" w:type="character">
    <w:name w:val="Caption"/>
    <w:basedOn w:val="Style_1_ch"/>
    <w:link w:val="Style_39"/>
    <w:rPr>
      <w:i w:val="1"/>
      <w:sz w:val="24"/>
    </w:rPr>
  </w:style>
  <w:style w:styleId="Style_40" w:type="paragraph">
    <w:name w:val="Contents 3"/>
    <w:link w:val="Style_40_ch"/>
    <w:rPr>
      <w:rFonts w:ascii="XO Thames" w:hAnsi="XO Thames"/>
      <w:sz w:val="28"/>
    </w:rPr>
  </w:style>
  <w:style w:styleId="Style_40_ch" w:type="character">
    <w:name w:val="Contents 3"/>
    <w:link w:val="Style_40"/>
    <w:rPr>
      <w:rFonts w:ascii="XO Thames" w:hAnsi="XO Thames"/>
      <w:sz w:val="28"/>
    </w:rPr>
  </w:style>
  <w:style w:styleId="Style_41" w:type="paragraph">
    <w:name w:val="Subtitle"/>
    <w:link w:val="Style_41_ch"/>
    <w:uiPriority w:val="11"/>
    <w:qFormat/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Contents 7"/>
    <w:link w:val="Style_43_ch"/>
    <w:rPr>
      <w:rFonts w:ascii="XO Thames" w:hAnsi="XO Thames"/>
      <w:sz w:val="28"/>
    </w:rPr>
  </w:style>
  <w:style w:styleId="Style_43_ch" w:type="character">
    <w:name w:val="Contents 7"/>
    <w:link w:val="Style_43"/>
    <w:rPr>
      <w:rFonts w:ascii="XO Thames" w:hAnsi="XO Thames"/>
      <w:sz w:val="28"/>
    </w:rPr>
  </w:style>
  <w:style w:styleId="Style_44" w:type="paragraph">
    <w:name w:val="Title"/>
    <w:link w:val="Style_44_ch"/>
    <w:uiPriority w:val="10"/>
    <w:qFormat/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Contents 4"/>
    <w:link w:val="Style_46_ch"/>
    <w:rPr>
      <w:rFonts w:ascii="XO Thames" w:hAnsi="XO Thames"/>
      <w:sz w:val="28"/>
    </w:rPr>
  </w:style>
  <w:style w:styleId="Style_46_ch" w:type="character">
    <w:name w:val="Contents 4"/>
    <w:link w:val="Style_46"/>
    <w:rPr>
      <w:rFonts w:ascii="XO Thames" w:hAnsi="XO Thames"/>
      <w:sz w:val="28"/>
    </w:rPr>
  </w:style>
  <w:style w:styleId="Style_47" w:type="paragraph">
    <w:name w:val="heading 2"/>
    <w:next w:val="Style_1"/>
    <w:link w:val="Style_4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7_ch" w:type="character">
    <w:name w:val="heading 2"/>
    <w:link w:val="Style_47"/>
    <w:rPr>
      <w:rFonts w:ascii="XO Thames" w:hAnsi="XO Thames"/>
      <w:b w:val="1"/>
      <w:color w:val="000000"/>
      <w:spacing w:val="0"/>
      <w:sz w:val="28"/>
    </w:rPr>
  </w:style>
  <w:style w:styleId="Style_48" w:type="paragraph">
    <w:name w:val="box_title__txt"/>
    <w:basedOn w:val="Style_10"/>
    <w:link w:val="Style_48_ch"/>
  </w:style>
  <w:style w:styleId="Style_48_ch" w:type="character">
    <w:name w:val="box_title__txt"/>
    <w:basedOn w:val="Style_10_ch"/>
    <w:link w:val="Style_48"/>
  </w:style>
  <w:style w:default="1" w:styleId="Style_4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2024-08-12T04:52:04Z</dcterms:modified>
</cp:coreProperties>
</file>