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54"/>
      </w:tblGrid>
      <w:tr>
        <w:tc>
          <w:tcPr>
            <w:tcW w:type="dxa" w:w="9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приложение 1 к постановлению Правительства Камчатского края от 31.03.2023 № 179-П «Об утверждении Положения о Министерстве труда и развития кадрового потенциала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1 к постановлению Правительства Камчатского края от 31.03.2023 №179–П «Об утверждении Положения о Министерстве труда и развития кадрового потенциала Камчатского края изменения согласно приложению к настоящему постановлению.</w:t>
      </w:r>
    </w:p>
    <w:p w14:paraId="16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опубликования, за исключением пунктов 3 – 4, 8– 17 и 19 вступающих а силу с 01.01.2025.</w:t>
      </w:r>
    </w:p>
    <w:p w14:paraId="17000000">
      <w:pPr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9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Изменения</w:t>
      </w:r>
      <w:r>
        <w:rPr>
          <w:rFonts w:ascii="Times New Roman" w:hAnsi="Times New Roman"/>
          <w:b w:val="1"/>
          <w:sz w:val="28"/>
        </w:rPr>
        <w:t xml:space="preserve"> в приложение 1 к постановлению Правительства Камчатского края от 31.03.2023 № 179-П «Об утверждении Положения о Министерстве труда и развития кадрового потенциала Камчатского края»</w:t>
      </w:r>
    </w:p>
    <w:p w14:paraId="3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9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23.1.2.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3A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«23.1.2 ежемесячной доплаты детям–сиротам, детям, оставшимся без попечения родителей, лицам из числа детей–сирот и детей, оставшихся без попечения родителей;»;</w:t>
      </w:r>
    </w:p>
    <w:p w14:paraId="3B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23.2 изложить в следующей редакции:</w:t>
      </w:r>
    </w:p>
    <w:p w14:paraId="3C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«23.2. обобщает практику применения законодательства о занятости населения в Камчатском крае и готовит предложения по его совершенствованию»;</w:t>
      </w:r>
    </w:p>
    <w:p w14:paraId="3D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23.3 – исключить;</w:t>
      </w:r>
    </w:p>
    <w:p w14:paraId="3E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23.4 – исключить;</w:t>
      </w:r>
    </w:p>
    <w:p w14:paraId="3F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часть 23.5 изложить в следующей редакции:</w:t>
      </w:r>
    </w:p>
    <w:p w14:paraId="40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«23.5. проводит мониторинг рынка труда в Камчатском крае и разрабатывает прогноз баланса трудовых ресурсов Камчатского края;»;</w:t>
      </w:r>
    </w:p>
    <w:p w14:paraId="41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часть 23.6. изложить в следующей редакции: </w:t>
      </w:r>
    </w:p>
    <w:p w14:paraId="42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23.6. осуществляет региональный государственный контроль (надзор) за приемом на работу инвалидов в пределах установленной квоты;»;</w:t>
      </w:r>
    </w:p>
    <w:p w14:paraId="43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часть 23.7. изложить в следующей редакции:</w:t>
      </w:r>
    </w:p>
    <w:p w14:paraId="44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«23.7. осуществляет контроль за деятельностью государственного учреждения службы занятости, находящегося в ведении Камчатского края в установленном Министерством порядке;»;</w:t>
      </w:r>
    </w:p>
    <w:p w14:paraId="45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часть 23.9. изложить в следующей редакции:</w:t>
      </w:r>
    </w:p>
    <w:p w14:paraId="46000000">
      <w:pPr>
        <w:tabs>
          <w:tab w:leader="none" w:pos="0" w:val="left"/>
        </w:tabs>
        <w:spacing w:after="0" w:line="240" w:lineRule="auto"/>
        <w:ind w:firstLine="62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«23.9. предоставляет основные меры государственной поддержки в сфере занятости населения:</w:t>
      </w:r>
    </w:p>
    <w:p w14:paraId="47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23.9.1 содействие гражданам в поиске подходящей работы, включая оказание содействия в составлении анкеты;</w:t>
      </w:r>
    </w:p>
    <w:p w14:paraId="48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23.9.2 организация временного трудоустройства несовершеннолетних граждан в возрасте от 14 до 18 лет в свободное от учебы время;</w:t>
      </w:r>
    </w:p>
    <w:p w14:paraId="49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23.9.3 организация временного трудоустройства безработных граждан, испытывающих трудности в поиске работы;</w:t>
      </w:r>
    </w:p>
    <w:p w14:paraId="4A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23.9.4 организация проведения оплачиваемых общественных работ;</w:t>
      </w:r>
    </w:p>
    <w:p w14:paraId="4B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23.9.5 социальная адаптация граждан, ищущих работу, безработных граждан;</w:t>
      </w:r>
    </w:p>
    <w:p w14:paraId="4C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23.9.6 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14:paraId="4D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23.9.7 психологическая поддержка безработных граждан;</w:t>
      </w:r>
    </w:p>
    <w:p w14:paraId="4E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23.9.8 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 w14:paraId="4F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23.9.9 содействие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14:paraId="50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23.9.10 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 w14:paraId="51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23.9.11 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7 статьи 38</w:t>
      </w:r>
      <w:r>
        <w:rPr>
          <w:rFonts w:ascii="Times New Roman" w:hAnsi="Times New Roman"/>
          <w:b w:val="0"/>
          <w:sz w:val="28"/>
        </w:rPr>
        <w:t xml:space="preserve"> 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от 31 мая 1996 года № 61-ФЗ «Об обороне», а также граждан, относящихся к членам их семей в соответствии с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пунктами 5</w:t>
      </w:r>
      <w:r>
        <w:rPr>
          <w:rFonts w:ascii="Times New Roman" w:hAnsi="Times New Roman"/>
          <w:b w:val="0"/>
          <w:color w:val="000000"/>
          <w:sz w:val="28"/>
        </w:rPr>
        <w:t xml:space="preserve"> и </w:t>
      </w:r>
      <w:r>
        <w:rPr>
          <w:rFonts w:ascii="Times New Roman" w:hAnsi="Times New Roman"/>
          <w:b w:val="0"/>
          <w:strike w:val="0"/>
          <w:color w:val="000000"/>
          <w:sz w:val="28"/>
        </w:rPr>
        <w:t>5.1 статьи 2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от </w:t>
      </w:r>
      <w:r>
        <w:rPr>
          <w:rFonts w:ascii="Times New Roman" w:hAnsi="Times New Roman"/>
          <w:b w:val="0"/>
          <w:sz w:val="28"/>
        </w:rPr>
        <w:t>27 мая 1998 года № 76-ФЗ «О статусе военнослужащих»;</w:t>
      </w:r>
    </w:p>
    <w:p w14:paraId="52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23.9.12 организация сопровождения при содействии занятости инвалидов;</w:t>
      </w:r>
    </w:p>
    <w:p w14:paraId="53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23.9.13 содействие работодателям в подборе необходимых работников;</w:t>
      </w:r>
    </w:p>
    <w:p w14:paraId="54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23.9.14 организация ярмарок вакансий и учебных рабочих мест;</w:t>
      </w:r>
    </w:p>
    <w:p w14:paraId="55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23.9.15 организация и проведение специальных мероприятий по профилированию граждан, ищущих работу, безработных граждан и работодателей;</w:t>
      </w:r>
    </w:p>
    <w:p w14:paraId="56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23.9.16 информирование о положении на рынке труда в субъекте Российской Федерации, социально-трудовых правах граждан, развитии форм занятости;»;</w:t>
      </w:r>
    </w:p>
    <w:p w14:paraId="57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часть 23.10. – исключить;</w:t>
      </w:r>
    </w:p>
    <w:p w14:paraId="58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часть 23.11 – исключить;</w:t>
      </w:r>
    </w:p>
    <w:p w14:paraId="59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часть 23.12 изложить в следующей редакции:</w:t>
      </w:r>
    </w:p>
    <w:p w14:paraId="5A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«23.12. обеспечивает финансирование мер государственной поддержки в сфере занятости населения, материально-техническое и финансовое обеспечение деятельности Министерства и государственного учреждения службы занятости населения;»;</w:t>
      </w:r>
    </w:p>
    <w:p w14:paraId="5B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12) часть 23.16 – исключить;</w:t>
      </w:r>
    </w:p>
    <w:p w14:paraId="5C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13) часть 23.17 – исключить;</w:t>
      </w:r>
    </w:p>
    <w:p w14:paraId="5D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14) часть 23.18 – исключить;</w:t>
      </w:r>
    </w:p>
    <w:p w14:paraId="5E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15) часть 23.19 изложить в следующей редакции:</w:t>
      </w:r>
    </w:p>
    <w:p w14:paraId="5F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«23.19. организует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оказание безработным гражданам единовременную финансовую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занятости, </w:t>
      </w:r>
      <w:r>
        <w:rPr>
          <w:rFonts w:ascii="Times New Roman" w:hAnsi="Times New Roman"/>
          <w:b w:val="0"/>
          <w:sz w:val="28"/>
        </w:rPr>
        <w:t>а также вносит в Правительство Камчатского края предложения об установлении порядка, условий и размеров финансовой поддержки;</w:t>
      </w:r>
      <w:r>
        <w:rPr>
          <w:rFonts w:ascii="Times New Roman" w:hAnsi="Times New Roman"/>
          <w:b w:val="0"/>
          <w:sz w:val="28"/>
        </w:rPr>
        <w:t>»;</w:t>
      </w:r>
    </w:p>
    <w:p w14:paraId="60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>16) часть 23.20 изложить в следующей редакции:</w:t>
      </w:r>
    </w:p>
    <w:p w14:paraId="61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«23.20. организует оказание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учреждением службы занятости населения Камчатского края для прохождения профессионального обучения, получения дополнительного профессионального образования в другую местность, а также вносит в Правительство Камчатского края предложения об установлении порядка, условий и размеров финансовой поддержки;»;</w:t>
      </w:r>
    </w:p>
    <w:p w14:paraId="62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17) часть 23.21 изложить в следующей редакции:</w:t>
      </w:r>
    </w:p>
    <w:p w14:paraId="63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«23.21. организует оказание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учреждения службы занятости населения, а также вносит в Правительство Камчатского края предложения об установлении порядка, условий и размеров финансовой поддержки;»;</w:t>
      </w:r>
    </w:p>
    <w:p w14:paraId="64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18) часть 23.23 – исключить;</w:t>
      </w:r>
    </w:p>
    <w:p w14:paraId="65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19) дополнить частью 23.25 следующего содержания:</w:t>
      </w:r>
    </w:p>
    <w:p w14:paraId="66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«23.25 организует оказание финансовой поддержки гражданам в период участия по направлению учреждения службы занятости населения Камчатского края в оплачиваемых работах временного характера или оплачиваемых общественных работах и (или) работодателям при организации таких работ, а также вносит в Правительство Камчатского края предложения об установлении порядка, условий и размеров финансовой поддержки;»;</w:t>
      </w:r>
    </w:p>
    <w:p w14:paraId="67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20) дополнить частью 23.26 следующего содержания:</w:t>
      </w:r>
    </w:p>
    <w:p w14:paraId="68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«23.26. определяет порядок резервирования отдельных видов работ (профессий) для трудоустройства граждан, особо нуждающихся в социальной защите в соответствии с законодательством Камчатского края, или определяет число рабочих мест для трудоустройства таких граждан;»</w:t>
      </w:r>
    </w:p>
    <w:p w14:paraId="69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21) дополнить частью 23.27 следующего содержания:</w:t>
      </w:r>
    </w:p>
    <w:p w14:paraId="6A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«23.27. осуществляет согласование общего объема контрольных цифр приема на обучение по профессиям, специальностям, направлениям подготовки и научным специальностям за счет бюджетных ассигнований краевого бюджета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общего объема контрольных цифр приема на обучение по профессиям, специальностям, направлениям подготовки и научным специальностям за счет бюджетных ассигнований местных бюджетов муниципальных образований в Камчатском крае, до их утверждения и распределения между организациями, осуществляющими образовательную деятельность по соответствующим образовательным программам, расположенными на территории Камчатского края, в соответствующего муниципального образования в Камчатском крае;».</w:t>
      </w:r>
    </w:p>
    <w:p w14:paraId="6B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Гиперссылка3"/>
    <w:link w:val="Style_12_ch"/>
    <w:rPr>
      <w:color w:val="0000FF"/>
      <w:u w:val="single"/>
    </w:rPr>
  </w:style>
  <w:style w:styleId="Style_12_ch" w:type="character">
    <w:name w:val="Гиперссылка3"/>
    <w:link w:val="Style_12"/>
    <w:rPr>
      <w:color w:val="0000FF"/>
      <w:u w:val="single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3_ch"/>
    <w:link w:val="Style_15"/>
    <w:rPr>
      <w:rFonts w:ascii="Times New Roman" w:hAnsi="Times New Roman"/>
      <w:sz w:val="28"/>
    </w:rPr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3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toc 9"/>
    <w:next w:val="Style_3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8"/>
    <w:next w:val="Style_3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toc 5"/>
    <w:next w:val="Style_3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Plain Text"/>
    <w:basedOn w:val="Style_3"/>
    <w:link w:val="Style_36_ch"/>
    <w:pPr>
      <w:spacing w:after="0" w:line="240" w:lineRule="auto"/>
      <w:ind/>
    </w:pPr>
    <w:rPr>
      <w:rFonts w:ascii="Calibri" w:hAnsi="Calibri"/>
    </w:rPr>
  </w:style>
  <w:style w:styleId="Style_36_ch" w:type="character">
    <w:name w:val="Plain Text"/>
    <w:basedOn w:val="Style_3_ch"/>
    <w:link w:val="Style_36"/>
    <w:rPr>
      <w:rFonts w:ascii="Calibri" w:hAnsi="Calibri"/>
    </w:rPr>
  </w:style>
  <w:style w:styleId="Style_37" w:type="paragraph">
    <w:name w:val="Subtitle"/>
    <w:next w:val="Style_3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3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2024-01-09T04:58:51Z</dcterms:modified>
</cp:coreProperties>
</file>