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ЕДИНЫЕ РЕКОМЕНДАЦИИ</w:t>
      </w:r>
    </w:p>
    <w:p w14:paraId="05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 xml:space="preserve">ПО УСТАНОВЛЕНИЮ НА ФЕДЕРАЛЬНОМ, РЕГИОНАЛЬНОМ И МЕСТНОМ </w:t>
      </w:r>
      <w:r>
        <w:rPr>
          <w:rFonts w:ascii="Times New Roman" w:hAnsi="Times New Roman"/>
          <w:color w:val="000000"/>
          <w:sz w:val="28"/>
        </w:rPr>
        <w:t xml:space="preserve">УРОВНЯХ СИСТЕМ ОПЛАТЫ ТРУДА РАБОТНИКОВ ГОСУДАРСТВЕННЫХ </w:t>
      </w:r>
      <w:r>
        <w:rPr>
          <w:rFonts w:ascii="Times New Roman" w:hAnsi="Times New Roman"/>
          <w:color w:val="000000"/>
          <w:sz w:val="28"/>
        </w:rPr>
        <w:t>И МУНИЦИПАЛЬНЫХ УЧРЕЖДЕНИЙ НА 2024 ГОД</w:t>
      </w:r>
    </w:p>
    <w:p w14:paraId="06000000">
      <w:pPr>
        <w:pStyle w:val="Style_1"/>
        <w:spacing w:after="0" w:before="0" w:line="240" w:lineRule="auto"/>
        <w:ind w:firstLine="709" w:left="0"/>
        <w:jc w:val="center"/>
        <w:rPr>
          <w:rFonts w:ascii="Times New Roman" w:hAnsi="Times New Roman"/>
          <w:color w:val="000000"/>
          <w:sz w:val="28"/>
        </w:rPr>
      </w:pPr>
    </w:p>
    <w:p w14:paraId="07000000">
      <w:pPr>
        <w:pStyle w:val="Style_2"/>
        <w:spacing w:after="0" w:before="0" w:line="240" w:lineRule="auto"/>
        <w:ind w:firstLine="709" w:left="0"/>
        <w:jc w:val="center"/>
        <w:outlineLvl w:val="0"/>
        <w:rPr>
          <w:rFonts w:ascii="Times New Roman" w:hAnsi="Times New Roman"/>
          <w:color w:val="000000"/>
          <w:sz w:val="28"/>
        </w:rPr>
      </w:pPr>
      <w:bookmarkStart w:id="1" w:name="Par6"/>
      <w:bookmarkEnd w:id="1"/>
      <w:r>
        <w:rPr>
          <w:rFonts w:ascii="Times New Roman" w:hAnsi="Times New Roman"/>
          <w:color w:val="000000"/>
          <w:sz w:val="28"/>
        </w:rPr>
        <w:t>I. Общие положения</w:t>
      </w:r>
    </w:p>
    <w:p w14:paraId="08000000">
      <w:pPr>
        <w:pStyle w:val="Style_1"/>
        <w:spacing w:after="0" w:before="0" w:line="240" w:lineRule="auto"/>
        <w:ind w:firstLine="709" w:left="0"/>
        <w:jc w:val="center"/>
        <w:rPr>
          <w:rFonts w:ascii="Times New Roman" w:hAnsi="Times New Roman"/>
          <w:color w:val="000000"/>
          <w:sz w:val="28"/>
        </w:rPr>
      </w:pPr>
    </w:p>
    <w:p w14:paraId="0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14:paraId="0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14:paraId="0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2024 году.</w:t>
      </w:r>
    </w:p>
    <w:p w14:paraId="0E000000">
      <w:pPr>
        <w:pStyle w:val="Style_1"/>
        <w:spacing w:after="0" w:before="0" w:line="240" w:lineRule="auto"/>
        <w:ind w:firstLine="709" w:left="0"/>
        <w:jc w:val="both"/>
        <w:rPr>
          <w:rFonts w:ascii="Times New Roman" w:hAnsi="Times New Roman"/>
          <w:color w:val="000000"/>
          <w:sz w:val="28"/>
        </w:rPr>
      </w:pPr>
    </w:p>
    <w:p w14:paraId="0F000000">
      <w:pPr>
        <w:pStyle w:val="Style_2"/>
        <w:spacing w:after="0" w:before="0" w:line="240" w:lineRule="auto"/>
        <w:ind w:firstLine="709" w:left="0"/>
        <w:jc w:val="center"/>
        <w:outlineLvl w:val="0"/>
        <w:rPr>
          <w:rFonts w:ascii="Times New Roman" w:hAnsi="Times New Roman"/>
          <w:color w:val="000000"/>
          <w:sz w:val="28"/>
        </w:rPr>
      </w:pPr>
      <w:bookmarkStart w:id="2" w:name="Par14"/>
      <w:bookmarkEnd w:id="2"/>
      <w:r>
        <w:rPr>
          <w:rFonts w:ascii="Times New Roman" w:hAnsi="Times New Roman"/>
          <w:color w:val="000000"/>
          <w:sz w:val="28"/>
        </w:rPr>
        <w:t>II. Принципы формирования федеральной, региональных</w:t>
      </w:r>
    </w:p>
    <w:p w14:paraId="10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и муниципальных систем оплаты труда</w:t>
      </w:r>
    </w:p>
    <w:p w14:paraId="11000000">
      <w:pPr>
        <w:pStyle w:val="Style_1"/>
        <w:spacing w:after="0" w:before="0" w:line="240" w:lineRule="auto"/>
        <w:ind w:firstLine="709" w:left="0"/>
        <w:jc w:val="center"/>
        <w:rPr>
          <w:rFonts w:ascii="Times New Roman" w:hAnsi="Times New Roman"/>
          <w:color w:val="000000"/>
          <w:sz w:val="28"/>
        </w:rPr>
      </w:pPr>
    </w:p>
    <w:p w14:paraId="1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14:paraId="1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14:paraId="1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14:paraId="1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1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1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1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обеспечение повышения уровня реального содержания заработной платы работников государственных и муниципальных учреждений, в том числе:</w:t>
      </w:r>
    </w:p>
    <w:p w14:paraId="1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2023 году;</w:t>
      </w:r>
    </w:p>
    <w:p w14:paraId="1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w:t>
      </w:r>
    </w:p>
    <w:p w14:paraId="1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1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1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w:t>
      </w:r>
    </w:p>
    <w:p w14:paraId="1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1F000000">
      <w:pPr>
        <w:pStyle w:val="Style_1"/>
        <w:spacing w:after="0" w:before="0" w:line="240" w:lineRule="auto"/>
        <w:ind w:firstLine="709" w:left="0"/>
        <w:jc w:val="both"/>
        <w:rPr>
          <w:rFonts w:ascii="Times New Roman" w:hAnsi="Times New Roman"/>
          <w:color w:val="000000"/>
          <w:sz w:val="28"/>
        </w:rPr>
      </w:pPr>
    </w:p>
    <w:p w14:paraId="2000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III. Перечень норм и условий оплаты труда,</w:t>
      </w:r>
    </w:p>
    <w:p w14:paraId="21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регламентируемых федеральными законами и иными нормативными</w:t>
      </w:r>
    </w:p>
    <w:p w14:paraId="22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правовыми актами Российской Федерации</w:t>
      </w:r>
    </w:p>
    <w:p w14:paraId="23000000">
      <w:pPr>
        <w:pStyle w:val="Style_1"/>
        <w:spacing w:after="0" w:before="0" w:line="240" w:lineRule="auto"/>
        <w:ind w:firstLine="709" w:left="0"/>
        <w:jc w:val="both"/>
        <w:rPr>
          <w:rFonts w:ascii="Times New Roman" w:hAnsi="Times New Roman"/>
          <w:color w:val="000000"/>
          <w:sz w:val="28"/>
        </w:rPr>
      </w:pPr>
    </w:p>
    <w:p w14:paraId="2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14:paraId="2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14:paraId="2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2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14:paraId="2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14:paraId="2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2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14:paraId="2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14:paraId="2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размеры и условия установления повышенной оплаты труда работников, занятых на работах с вредными и (или) опасными условиями труда.</w:t>
      </w:r>
    </w:p>
    <w:p w14:paraId="2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"О специальной оценке условий труда" с учетом изменений, внесенных Федеральным законом от 26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ред. от 24 июля 2023 г. № 381-ФЗ, с учетом Постановления Конституционного Суда Российской Федерации от 4 октября 2022 г. № 40-П);</w:t>
      </w:r>
    </w:p>
    <w:p w14:paraId="2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14:paraId="2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30000000">
      <w:pPr>
        <w:pStyle w:val="Style_1"/>
        <w:spacing w:after="0" w:before="0" w:line="240" w:lineRule="auto"/>
        <w:ind w:firstLine="709" w:left="0"/>
        <w:jc w:val="both"/>
        <w:rPr>
          <w:rFonts w:ascii="Times New Roman" w:hAnsi="Times New Roman"/>
          <w:color w:val="000000"/>
          <w:sz w:val="28"/>
        </w:rPr>
      </w:pPr>
    </w:p>
    <w:p w14:paraId="31000000">
      <w:pPr>
        <w:pStyle w:val="Style_2"/>
        <w:spacing w:after="0" w:before="0" w:line="240" w:lineRule="auto"/>
        <w:ind w:firstLine="709" w:left="0"/>
        <w:jc w:val="center"/>
        <w:outlineLvl w:val="0"/>
        <w:rPr>
          <w:rFonts w:ascii="Times New Roman" w:hAnsi="Times New Roman"/>
          <w:color w:val="000000"/>
          <w:sz w:val="28"/>
        </w:rPr>
      </w:pPr>
      <w:bookmarkStart w:id="3" w:name="Par48"/>
      <w:bookmarkEnd w:id="3"/>
      <w:r>
        <w:rPr>
          <w:rFonts w:ascii="Times New Roman" w:hAnsi="Times New Roman"/>
          <w:color w:val="000000"/>
          <w:sz w:val="28"/>
        </w:rPr>
        <w:t>IV. Системы оплаты труда работников государственных</w:t>
      </w:r>
    </w:p>
    <w:p w14:paraId="32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и муниципальных учреждений</w:t>
      </w:r>
    </w:p>
    <w:p w14:paraId="33000000">
      <w:pPr>
        <w:pStyle w:val="Style_1"/>
        <w:spacing w:after="0" w:before="0" w:line="240" w:lineRule="auto"/>
        <w:ind w:firstLine="709" w:left="0"/>
        <w:jc w:val="center"/>
        <w:rPr>
          <w:rFonts w:ascii="Times New Roman" w:hAnsi="Times New Roman"/>
          <w:color w:val="000000"/>
          <w:sz w:val="28"/>
        </w:rPr>
      </w:pPr>
    </w:p>
    <w:p w14:paraId="3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14:paraId="3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14:paraId="3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3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3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14:paraId="3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недопущения в 2024 году снижения установленных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w:t>
      </w:r>
    </w:p>
    <w:p w14:paraId="3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14:paraId="3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14:paraId="3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3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14:paraId="3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3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w:t>
      </w:r>
    </w:p>
    <w:p w14:paraId="41000000">
      <w:pPr>
        <w:pStyle w:val="Style_1"/>
        <w:spacing w:after="0" w:before="0" w:line="240" w:lineRule="auto"/>
        <w:ind w:firstLine="709" w:left="0"/>
        <w:jc w:val="both"/>
        <w:rPr>
          <w:rFonts w:ascii="Times New Roman" w:hAnsi="Times New Roman"/>
          <w:color w:val="000000"/>
          <w:sz w:val="28"/>
        </w:rPr>
      </w:pPr>
      <w:bookmarkStart w:id="4" w:name="Par64"/>
      <w:bookmarkEnd w:id="4"/>
      <w:r>
        <w:rPr>
          <w:rFonts w:ascii="Times New Roman" w:hAnsi="Times New Roman"/>
          <w:color w:val="000000"/>
          <w:sz w:val="28"/>
        </w:rPr>
        <w:t>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4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мнения соответствующего выборного органа первичной профсоюзной организации и соответствующих профсоюзов (объединений профсоюзов);</w:t>
      </w:r>
    </w:p>
    <w:p w14:paraId="4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14:paraId="4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14:paraId="4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14:paraId="4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 введении новых норм труда работники должны быть извещены не позднее чем за 2 месяца.</w:t>
      </w:r>
    </w:p>
    <w:p w14:paraId="4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 г.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14:paraId="4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Выполнение работником трудовой функции дистанционно не может являться основанием для снижения ему заработной платы.</w:t>
      </w:r>
    </w:p>
    <w:p w14:paraId="4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14:paraId="4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4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получении образования или восстановлении документов об образовании - со дня представления соответствующего документа;</w:t>
      </w:r>
    </w:p>
    <w:p w14:paraId="4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установлении или присвоении квалификационной категории - со дня вынесения решения аттестационной комиссией;</w:t>
      </w:r>
    </w:p>
    <w:p w14:paraId="4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присвоении почетного звания, награждении ведомственными знаками отличия (наград) - со дня присвоения, награждения;</w:t>
      </w:r>
    </w:p>
    <w:p w14:paraId="4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14:paraId="4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50000000">
      <w:pPr>
        <w:pStyle w:val="Style_1"/>
        <w:spacing w:after="0" w:before="0" w:line="240" w:lineRule="auto"/>
        <w:ind w:firstLine="709" w:left="0"/>
        <w:jc w:val="both"/>
        <w:rPr>
          <w:rFonts w:ascii="Times New Roman" w:hAnsi="Times New Roman"/>
          <w:color w:val="000000"/>
          <w:sz w:val="28"/>
        </w:rPr>
      </w:pPr>
    </w:p>
    <w:p w14:paraId="51000000">
      <w:pPr>
        <w:pStyle w:val="Style_2"/>
        <w:spacing w:after="0" w:before="0" w:line="240" w:lineRule="auto"/>
        <w:ind w:firstLine="709" w:left="0"/>
        <w:jc w:val="center"/>
        <w:outlineLvl w:val="0"/>
        <w:rPr>
          <w:rFonts w:ascii="Times New Roman" w:hAnsi="Times New Roman"/>
          <w:color w:val="000000"/>
          <w:sz w:val="28"/>
        </w:rPr>
      </w:pPr>
      <w:bookmarkStart w:id="5" w:name="Par80"/>
      <w:bookmarkEnd w:id="5"/>
      <w:r>
        <w:rPr>
          <w:rFonts w:ascii="Times New Roman" w:hAnsi="Times New Roman"/>
          <w:color w:val="000000"/>
          <w:sz w:val="28"/>
        </w:rPr>
        <w:t>V. Системы оплаты труда работников федеральных</w:t>
      </w:r>
    </w:p>
    <w:p w14:paraId="52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учреждений</w:t>
      </w:r>
    </w:p>
    <w:p w14:paraId="53000000">
      <w:pPr>
        <w:pStyle w:val="Style_1"/>
        <w:spacing w:after="0" w:before="0" w:line="240" w:lineRule="auto"/>
        <w:ind w:firstLine="709" w:left="0"/>
        <w:jc w:val="center"/>
        <w:rPr>
          <w:rFonts w:ascii="Times New Roman" w:hAnsi="Times New Roman"/>
          <w:color w:val="000000"/>
          <w:sz w:val="28"/>
        </w:rPr>
      </w:pPr>
    </w:p>
    <w:p w14:paraId="5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r>
        <w:rPr>
          <w:rFonts w:ascii="Times New Roman" w:hAnsi="Times New Roman"/>
          <w:color w:val="000000"/>
          <w:sz w:val="28"/>
        </w:rPr>
        <w:fldChar w:fldCharType="begin"/>
      </w:r>
      <w:r>
        <w:rPr>
          <w:rFonts w:ascii="Times New Roman" w:hAnsi="Times New Roman"/>
          <w:color w:val="000000"/>
          <w:sz w:val="28"/>
        </w:rPr>
        <w:instrText>HYPERLINK \l "Par14" \o "II. Принципы формирования федеральной, региональных"</w:instrText>
      </w:r>
      <w:r>
        <w:rPr>
          <w:rFonts w:ascii="Times New Roman" w:hAnsi="Times New Roman"/>
          <w:color w:val="000000"/>
          <w:sz w:val="28"/>
        </w:rPr>
        <w:fldChar w:fldCharType="separate"/>
      </w:r>
      <w:r>
        <w:rPr>
          <w:rFonts w:ascii="Times New Roman" w:hAnsi="Times New Roman"/>
          <w:color w:val="000000"/>
          <w:sz w:val="28"/>
        </w:rPr>
        <w:t>разделах II</w:t>
      </w:r>
      <w:r>
        <w:rPr>
          <w:rFonts w:ascii="Times New Roman" w:hAnsi="Times New Roman"/>
          <w:color w:val="000000"/>
          <w:sz w:val="28"/>
        </w:rPr>
        <w:fldChar w:fldCharType="end"/>
      </w:r>
      <w:r>
        <w:rPr>
          <w:rFonts w:ascii="Times New Roman" w:hAnsi="Times New Roman"/>
          <w:color w:val="000000"/>
          <w:sz w:val="28"/>
        </w:rPr>
        <w:t xml:space="preserve"> - </w:t>
      </w:r>
      <w:r>
        <w:rPr>
          <w:rFonts w:ascii="Times New Roman" w:hAnsi="Times New Roman"/>
          <w:color w:val="000000"/>
          <w:sz w:val="28"/>
        </w:rPr>
        <w:fldChar w:fldCharType="begin"/>
      </w:r>
      <w:r>
        <w:rPr>
          <w:rFonts w:ascii="Times New Roman" w:hAnsi="Times New Roman"/>
          <w:color w:val="000000"/>
          <w:sz w:val="28"/>
        </w:rPr>
        <w:instrText>HYPERLINK \l "Par48" \o "IV. Системы оплаты труда работников государственных"</w:instrText>
      </w:r>
      <w:r>
        <w:rPr>
          <w:rFonts w:ascii="Times New Roman" w:hAnsi="Times New Roman"/>
          <w:color w:val="000000"/>
          <w:sz w:val="28"/>
        </w:rPr>
        <w:fldChar w:fldCharType="separate"/>
      </w:r>
      <w:r>
        <w:rPr>
          <w:rFonts w:ascii="Times New Roman" w:hAnsi="Times New Roman"/>
          <w:color w:val="000000"/>
          <w:sz w:val="28"/>
        </w:rPr>
        <w:t>IV</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14:paraId="5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10. Системы оплаты труда работников учреждений устанавливаются и изменяются с учетом:</w:t>
      </w:r>
    </w:p>
    <w:p w14:paraId="5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14:paraId="5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w:t>
      </w:r>
    </w:p>
    <w:p w14:paraId="5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5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14:paraId="5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14:paraId="5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настоящих рекомендаций;</w:t>
      </w:r>
    </w:p>
    <w:p w14:paraId="5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мнения выборного органа первичной профсоюзной организации.</w:t>
      </w:r>
    </w:p>
    <w:p w14:paraId="6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6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14:paraId="6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14:paraId="6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6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14:paraId="6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14:paraId="6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Работодатели принимают меры по улучшению условий труда работников с учетом результатов специальной оценки условий труда;</w:t>
      </w:r>
    </w:p>
    <w:p w14:paraId="6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от 16 декабря 2019 г. № 40-П, от 11 апреля 2023 г. № 16-П, от 15 июня 2023 г. № 32-П и от 27 июня 2023 г. № 35-П;</w:t>
      </w:r>
    </w:p>
    <w:p w14:paraId="6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Постановлении от 7 декабря 2017 г. № 38-П;</w:t>
      </w:r>
    </w:p>
    <w:p w14:paraId="6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14:paraId="6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6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14:paraId="6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Разработка показателей и критериев эффективности работы осуществляется с учетом следующих принципов:</w:t>
      </w:r>
    </w:p>
    <w:p w14:paraId="6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14:paraId="6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6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адекватность - вознаграждение должно быть адекватно трудовому вкладу каждого работника в результат коллективного труда;</w:t>
      </w:r>
    </w:p>
    <w:p w14:paraId="7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своевременность - вознаграждение должно следовать за достижением результатов;</w:t>
      </w:r>
    </w:p>
    <w:p w14:paraId="7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прозрачность - правила определения вознаграждения должны быть понятны каждому работнику.</w:t>
      </w:r>
    </w:p>
    <w:p w14:paraId="7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7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14:paraId="7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7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14:paraId="7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14:paraId="77000000">
      <w:pPr>
        <w:pStyle w:val="Style_1"/>
        <w:spacing w:after="0" w:before="0" w:line="240" w:lineRule="auto"/>
        <w:ind w:firstLine="709" w:left="0"/>
        <w:jc w:val="both"/>
        <w:rPr>
          <w:rFonts w:ascii="Times New Roman" w:hAnsi="Times New Roman"/>
          <w:color w:val="000000"/>
          <w:sz w:val="28"/>
        </w:rPr>
      </w:pPr>
    </w:p>
    <w:p w14:paraId="7800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VI. Системы оплаты труда руководителей</w:t>
      </w:r>
    </w:p>
    <w:p w14:paraId="79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и муниципальных учреждений, их заместителей</w:t>
      </w:r>
    </w:p>
    <w:p w14:paraId="7A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и главных бухгалтеров</w:t>
      </w:r>
    </w:p>
    <w:p w14:paraId="7B000000">
      <w:pPr>
        <w:pStyle w:val="Style_1"/>
        <w:spacing w:after="0" w:before="0" w:line="240" w:lineRule="auto"/>
        <w:ind w:firstLine="709" w:left="0"/>
        <w:jc w:val="center"/>
        <w:rPr>
          <w:rFonts w:ascii="Times New Roman" w:hAnsi="Times New Roman"/>
          <w:color w:val="000000"/>
          <w:sz w:val="28"/>
        </w:rPr>
      </w:pPr>
    </w:p>
    <w:p w14:paraId="7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7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14:paraId="7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14:paraId="7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14:paraId="8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8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(в ред. постановления Правительства Российской Федерации от 9 ноября 2018 г. № 1338).</w:t>
      </w:r>
    </w:p>
    <w:p w14:paraId="82000000">
      <w:pPr>
        <w:pStyle w:val="Style_1"/>
        <w:spacing w:after="0" w:before="0" w:line="240" w:lineRule="auto"/>
        <w:ind w:firstLine="709" w:left="0"/>
        <w:jc w:val="both"/>
        <w:rPr>
          <w:rFonts w:ascii="Times New Roman" w:hAnsi="Times New Roman"/>
          <w:color w:val="000000"/>
          <w:sz w:val="28"/>
        </w:rPr>
      </w:pPr>
      <w:bookmarkStart w:id="6" w:name="Par129"/>
      <w:bookmarkEnd w:id="6"/>
      <w:r>
        <w:rPr>
          <w:rFonts w:ascii="Times New Roman" w:hAnsi="Times New Roman"/>
          <w:color w:val="000000"/>
          <w:sz w:val="28"/>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14:paraId="8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14:paraId="8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14:paraId="8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14:paraId="8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Без учета предельного уровня соотношений размеров среднемесячной заработной платы, указанного в </w:t>
      </w:r>
      <w:r>
        <w:rPr>
          <w:rFonts w:ascii="Times New Roman" w:hAnsi="Times New Roman"/>
          <w:color w:val="000000"/>
          <w:sz w:val="28"/>
        </w:rPr>
        <w:fldChar w:fldCharType="begin"/>
      </w:r>
      <w:r>
        <w:rPr>
          <w:rFonts w:ascii="Times New Roman" w:hAnsi="Times New Roman"/>
          <w:color w:val="000000"/>
          <w:sz w:val="28"/>
        </w:rPr>
        <w:instrText>HYPERLINK \l "Par129" \o "26.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w:instrText>
      </w:r>
      <w:r>
        <w:rPr>
          <w:rFonts w:ascii="Times New Roman" w:hAnsi="Times New Roman"/>
          <w:color w:val="000000"/>
          <w:sz w:val="28"/>
        </w:rPr>
        <w:fldChar w:fldCharType="separate"/>
      </w:r>
      <w:r>
        <w:rPr>
          <w:rFonts w:ascii="Times New Roman" w:hAnsi="Times New Roman"/>
          <w:color w:val="000000"/>
          <w:sz w:val="28"/>
        </w:rPr>
        <w:t>абзаце первом</w:t>
      </w:r>
      <w:r>
        <w:rPr>
          <w:rFonts w:ascii="Times New Roman" w:hAnsi="Times New Roman"/>
          <w:color w:val="000000"/>
          <w:sz w:val="28"/>
        </w:rPr>
        <w:fldChar w:fldCharType="end"/>
      </w:r>
      <w:r>
        <w:rPr>
          <w:rFonts w:ascii="Times New Roman" w:hAnsi="Times New Roman"/>
          <w:color w:val="000000"/>
          <w:sz w:val="28"/>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8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27. Информация о рассчитанной за 2023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2024 г.</w:t>
      </w:r>
    </w:p>
    <w:p w14:paraId="8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14:paraId="8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14:paraId="8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14:paraId="8B000000">
      <w:pPr>
        <w:pStyle w:val="Style_1"/>
        <w:spacing w:after="0" w:before="0" w:line="240" w:lineRule="auto"/>
        <w:ind w:firstLine="709" w:left="0"/>
        <w:jc w:val="both"/>
        <w:rPr>
          <w:rFonts w:ascii="Times New Roman" w:hAnsi="Times New Roman"/>
          <w:color w:val="000000"/>
          <w:sz w:val="28"/>
        </w:rPr>
      </w:pPr>
    </w:p>
    <w:p w14:paraId="8C00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VII. Формирование фондов оплаты труда в государственных</w:t>
      </w:r>
    </w:p>
    <w:p w14:paraId="8D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и муниципальных учреждениях</w:t>
      </w:r>
    </w:p>
    <w:p w14:paraId="8E000000">
      <w:pPr>
        <w:pStyle w:val="Style_1"/>
        <w:spacing w:after="0" w:before="0" w:line="240" w:lineRule="auto"/>
        <w:ind w:firstLine="709" w:left="0"/>
        <w:jc w:val="center"/>
        <w:rPr>
          <w:rFonts w:ascii="Times New Roman" w:hAnsi="Times New Roman"/>
          <w:color w:val="000000"/>
          <w:sz w:val="28"/>
        </w:rPr>
      </w:pPr>
    </w:p>
    <w:p w14:paraId="8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Pr>
          <w:rFonts w:ascii="Times New Roman" w:hAnsi="Times New Roman"/>
          <w:color w:val="000000"/>
          <w:sz w:val="28"/>
        </w:rPr>
        <w:fldChar w:fldCharType="begin"/>
      </w:r>
      <w:r>
        <w:rPr>
          <w:rFonts w:ascii="Times New Roman" w:hAnsi="Times New Roman"/>
          <w:color w:val="000000"/>
          <w:sz w:val="28"/>
        </w:rPr>
        <w:instrText>HYPERLINK \l "Par64" \o "и)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w:instrText>
      </w:r>
      <w:r>
        <w:rPr>
          <w:rFonts w:ascii="Times New Roman" w:hAnsi="Times New Roman"/>
          <w:color w:val="000000"/>
          <w:sz w:val="28"/>
        </w:rPr>
        <w:fldChar w:fldCharType="separate"/>
      </w:r>
      <w:r>
        <w:rPr>
          <w:rFonts w:ascii="Times New Roman" w:hAnsi="Times New Roman"/>
          <w:color w:val="000000"/>
          <w:sz w:val="28"/>
        </w:rPr>
        <w:t>подпунктом "и" пункта 7</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w:t>
      </w:r>
    </w:p>
    <w:p w14:paraId="9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Pr>
          <w:rFonts w:ascii="Times New Roman" w:hAnsi="Times New Roman"/>
          <w:color w:val="000000"/>
          <w:sz w:val="28"/>
        </w:rPr>
        <w:fldChar w:fldCharType="begin"/>
      </w:r>
      <w:r>
        <w:rPr>
          <w:rFonts w:ascii="Times New Roman" w:hAnsi="Times New Roman"/>
          <w:color w:val="000000"/>
          <w:sz w:val="28"/>
        </w:rPr>
        <w:instrText>HYPERLINK \l "Par64" \o "и)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w:instrText>
      </w:r>
      <w:r>
        <w:rPr>
          <w:rFonts w:ascii="Times New Roman" w:hAnsi="Times New Roman"/>
          <w:color w:val="000000"/>
          <w:sz w:val="28"/>
        </w:rPr>
        <w:fldChar w:fldCharType="separate"/>
      </w:r>
      <w:r>
        <w:rPr>
          <w:rFonts w:ascii="Times New Roman" w:hAnsi="Times New Roman"/>
          <w:color w:val="000000"/>
          <w:sz w:val="28"/>
        </w:rPr>
        <w:t>подпунктом "и" пункта 7</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w:t>
      </w:r>
    </w:p>
    <w:p w14:paraId="91000000">
      <w:pPr>
        <w:pStyle w:val="Style_1"/>
        <w:spacing w:after="0" w:before="0" w:line="240" w:lineRule="auto"/>
        <w:ind w:firstLine="709" w:left="0"/>
        <w:jc w:val="both"/>
        <w:rPr>
          <w:rFonts w:ascii="Times New Roman" w:hAnsi="Times New Roman"/>
          <w:color w:val="000000"/>
          <w:sz w:val="28"/>
        </w:rPr>
      </w:pPr>
    </w:p>
    <w:p w14:paraId="9200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VIII. Системы оплаты труда работников</w:t>
      </w:r>
    </w:p>
    <w:p w14:paraId="93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учреждений субъектов Российской Федерации</w:t>
      </w:r>
    </w:p>
    <w:p w14:paraId="94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и муниципальных учреждений</w:t>
      </w:r>
    </w:p>
    <w:p w14:paraId="95000000">
      <w:pPr>
        <w:pStyle w:val="Style_1"/>
        <w:spacing w:after="0" w:before="0" w:line="240" w:lineRule="auto"/>
        <w:ind w:firstLine="709" w:left="0"/>
        <w:jc w:val="center"/>
        <w:rPr>
          <w:rFonts w:ascii="Times New Roman" w:hAnsi="Times New Roman"/>
          <w:color w:val="000000"/>
          <w:sz w:val="28"/>
        </w:rPr>
      </w:pPr>
    </w:p>
    <w:p w14:paraId="9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Pr>
          <w:rFonts w:ascii="Times New Roman" w:hAnsi="Times New Roman"/>
          <w:color w:val="000000"/>
          <w:sz w:val="28"/>
        </w:rPr>
        <w:fldChar w:fldCharType="begin"/>
      </w:r>
      <w:r>
        <w:rPr>
          <w:rFonts w:ascii="Times New Roman" w:hAnsi="Times New Roman"/>
          <w:color w:val="000000"/>
          <w:sz w:val="28"/>
        </w:rPr>
        <w:instrText>HYPERLINK \l "Par14" \o "II. Принципы формирования федеральной, региональных"</w:instrText>
      </w:r>
      <w:r>
        <w:rPr>
          <w:rFonts w:ascii="Times New Roman" w:hAnsi="Times New Roman"/>
          <w:color w:val="000000"/>
          <w:sz w:val="28"/>
        </w:rPr>
        <w:fldChar w:fldCharType="separate"/>
      </w:r>
      <w:r>
        <w:rPr>
          <w:rFonts w:ascii="Times New Roman" w:hAnsi="Times New Roman"/>
          <w:color w:val="000000"/>
          <w:sz w:val="28"/>
        </w:rPr>
        <w:t>разделах II</w:t>
      </w:r>
      <w:r>
        <w:rPr>
          <w:rFonts w:ascii="Times New Roman" w:hAnsi="Times New Roman"/>
          <w:color w:val="000000"/>
          <w:sz w:val="28"/>
        </w:rPr>
        <w:fldChar w:fldCharType="end"/>
      </w:r>
      <w:r>
        <w:rPr>
          <w:rFonts w:ascii="Times New Roman" w:hAnsi="Times New Roman"/>
          <w:color w:val="000000"/>
          <w:sz w:val="28"/>
        </w:rPr>
        <w:t xml:space="preserve"> - </w:t>
      </w:r>
      <w:r>
        <w:rPr>
          <w:rFonts w:ascii="Times New Roman" w:hAnsi="Times New Roman"/>
          <w:color w:val="000000"/>
          <w:sz w:val="28"/>
        </w:rPr>
        <w:fldChar w:fldCharType="begin"/>
      </w:r>
      <w:r>
        <w:rPr>
          <w:rFonts w:ascii="Times New Roman" w:hAnsi="Times New Roman"/>
          <w:color w:val="000000"/>
          <w:sz w:val="28"/>
        </w:rPr>
        <w:instrText>HYPERLINK \l "Par48" \o "IV. Системы оплаты труда работников государственных"</w:instrText>
      </w:r>
      <w:r>
        <w:rPr>
          <w:rFonts w:ascii="Times New Roman" w:hAnsi="Times New Roman"/>
          <w:color w:val="000000"/>
          <w:sz w:val="28"/>
        </w:rPr>
        <w:fldChar w:fldCharType="separate"/>
      </w:r>
      <w:r>
        <w:rPr>
          <w:rFonts w:ascii="Times New Roman" w:hAnsi="Times New Roman"/>
          <w:color w:val="000000"/>
          <w:sz w:val="28"/>
        </w:rPr>
        <w:t>IV</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14:paraId="9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Органам государственной власти субъектов Российской Федерации и органам местного самоуправления рекомендуется:</w:t>
      </w:r>
    </w:p>
    <w:p w14:paraId="9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14:paraId="9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14:paraId="9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14:paraId="9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Минздрава России от 28 июня 2013 г. № 421; приказом Минтруда России от 1 июля 2013 г. № 287; приказом Минкультуры России от 28 июня 2013 г. № 920; приказом Минобрнауки России от 1 февраля 2022 г. № 92, приказом Минобрнауки России Федерации от 23 июня 2021 г. № 525; приказом Минпросвещения России от 28 марта 2023 г. № 211, предусмотренные в письмах Минобрнауки России от 20 июня 2013 г. № АП-1073/02, Минкультуры России от 5 августа 2014 г. № 166-01-39/04-НМ, а также установленные в планах мероприятий по реализации "дорожных карт" значения целевых показателей развития соответствующих отраслей.</w:t>
      </w:r>
    </w:p>
    <w:p w14:paraId="9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2024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14:paraId="9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Pr>
          <w:rFonts w:ascii="Times New Roman" w:hAnsi="Times New Roman"/>
          <w:color w:val="000000"/>
          <w:sz w:val="28"/>
        </w:rPr>
        <w:fldChar w:fldCharType="begin"/>
      </w:r>
      <w:r>
        <w:rPr>
          <w:rFonts w:ascii="Times New Roman" w:hAnsi="Times New Roman"/>
          <w:color w:val="000000"/>
          <w:sz w:val="28"/>
        </w:rPr>
        <w:instrText>HYPERLINK \l "Par6" \o "I. Общие положения"</w:instrText>
      </w:r>
      <w:r>
        <w:rPr>
          <w:rFonts w:ascii="Times New Roman" w:hAnsi="Times New Roman"/>
          <w:color w:val="000000"/>
          <w:sz w:val="28"/>
        </w:rPr>
        <w:fldChar w:fldCharType="separate"/>
      </w:r>
      <w:r>
        <w:rPr>
          <w:rFonts w:ascii="Times New Roman" w:hAnsi="Times New Roman"/>
          <w:color w:val="000000"/>
          <w:sz w:val="28"/>
        </w:rPr>
        <w:t>разделами I</w:t>
      </w:r>
      <w:r>
        <w:rPr>
          <w:rFonts w:ascii="Times New Roman" w:hAnsi="Times New Roman"/>
          <w:color w:val="000000"/>
          <w:sz w:val="28"/>
        </w:rPr>
        <w:fldChar w:fldCharType="end"/>
      </w:r>
      <w:r>
        <w:rPr>
          <w:rFonts w:ascii="Times New Roman" w:hAnsi="Times New Roman"/>
          <w:color w:val="000000"/>
          <w:sz w:val="28"/>
        </w:rPr>
        <w:t xml:space="preserve"> - </w:t>
      </w:r>
      <w:r>
        <w:rPr>
          <w:rFonts w:ascii="Times New Roman" w:hAnsi="Times New Roman"/>
          <w:color w:val="000000"/>
          <w:sz w:val="28"/>
        </w:rPr>
        <w:fldChar w:fldCharType="begin"/>
      </w:r>
      <w:r>
        <w:rPr>
          <w:rFonts w:ascii="Times New Roman" w:hAnsi="Times New Roman"/>
          <w:color w:val="000000"/>
          <w:sz w:val="28"/>
        </w:rPr>
        <w:instrText>HYPERLINK \l "Par48" \o "IV. Системы оплаты труда работников государственных"</w:instrText>
      </w:r>
      <w:r>
        <w:rPr>
          <w:rFonts w:ascii="Times New Roman" w:hAnsi="Times New Roman"/>
          <w:color w:val="000000"/>
          <w:sz w:val="28"/>
        </w:rPr>
        <w:fldChar w:fldCharType="separate"/>
      </w:r>
      <w:r>
        <w:rPr>
          <w:rFonts w:ascii="Times New Roman" w:hAnsi="Times New Roman"/>
          <w:color w:val="000000"/>
          <w:sz w:val="28"/>
        </w:rPr>
        <w:t>IV</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Pr>
          <w:rFonts w:ascii="Times New Roman" w:hAnsi="Times New Roman"/>
          <w:color w:val="000000"/>
          <w:sz w:val="28"/>
        </w:rPr>
        <w:fldChar w:fldCharType="begin"/>
      </w:r>
      <w:r>
        <w:rPr>
          <w:rFonts w:ascii="Times New Roman" w:hAnsi="Times New Roman"/>
          <w:color w:val="000000"/>
          <w:sz w:val="28"/>
        </w:rPr>
        <w:instrText>HYPERLINK \l "Par80" \o "V. Системы оплаты труда работников федеральных"</w:instrText>
      </w:r>
      <w:r>
        <w:rPr>
          <w:rFonts w:ascii="Times New Roman" w:hAnsi="Times New Roman"/>
          <w:color w:val="000000"/>
          <w:sz w:val="28"/>
        </w:rPr>
        <w:fldChar w:fldCharType="separate"/>
      </w:r>
      <w:r>
        <w:rPr>
          <w:rFonts w:ascii="Times New Roman" w:hAnsi="Times New Roman"/>
          <w:color w:val="000000"/>
          <w:sz w:val="28"/>
        </w:rPr>
        <w:t>разделе V</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 обратив особое внимание при применении этих положений учреждениями на:</w:t>
      </w:r>
    </w:p>
    <w:p w14:paraId="9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14:paraId="9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14:paraId="A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14:paraId="A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Pr>
          <w:rFonts w:ascii="Times New Roman" w:hAnsi="Times New Roman"/>
          <w:color w:val="000000"/>
          <w:sz w:val="28"/>
        </w:rPr>
        <w:fldChar w:fldCharType="begin"/>
      </w:r>
      <w:r>
        <w:rPr>
          <w:rFonts w:ascii="Times New Roman" w:hAnsi="Times New Roman"/>
          <w:color w:val="000000"/>
          <w:sz w:val="28"/>
        </w:rPr>
        <w:instrText>HYPERLINK \l "Par80" \o "V. Системы оплаты труда работников федеральных"</w:instrText>
      </w:r>
      <w:r>
        <w:rPr>
          <w:rFonts w:ascii="Times New Roman" w:hAnsi="Times New Roman"/>
          <w:color w:val="000000"/>
          <w:sz w:val="28"/>
        </w:rPr>
        <w:fldChar w:fldCharType="separate"/>
      </w:r>
      <w:r>
        <w:rPr>
          <w:rFonts w:ascii="Times New Roman" w:hAnsi="Times New Roman"/>
          <w:color w:val="000000"/>
          <w:sz w:val="28"/>
        </w:rPr>
        <w:t>разделом V</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 и (или) требованиями, утвержденных Правительством Российской Федерации;</w:t>
      </w:r>
    </w:p>
    <w:p w14:paraId="A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самостоятельное утверждение штатного расписания руководителем учреждения (представителем работодателя);</w:t>
      </w:r>
    </w:p>
    <w:p w14:paraId="A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14:paraId="A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14:paraId="A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14:paraId="A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14:paraId="A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A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утверждать квалификационные характеристики по должностям служащих и профессиям рабочих;</w:t>
      </w:r>
    </w:p>
    <w:p w14:paraId="A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отступать от единого реестра ученых степеней и ученых званий и порядка присуждения ученых степеней, утверждаемых в установленном порядке;</w:t>
      </w:r>
    </w:p>
    <w:p w14:paraId="A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14:paraId="A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14:paraId="A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14:paraId="A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34. При применении систем оплаты труда работников учреждений следует обращать внимание на:</w:t>
      </w:r>
    </w:p>
    <w:p w14:paraId="A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14:paraId="A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B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14:paraId="B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14:paraId="B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14:paraId="B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14:paraId="B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14:paraId="B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14:paraId="B6000000">
      <w:pPr>
        <w:pStyle w:val="Style_1"/>
        <w:spacing w:after="0" w:before="0" w:line="240" w:lineRule="auto"/>
        <w:ind w:firstLine="709" w:left="0"/>
        <w:jc w:val="both"/>
        <w:rPr>
          <w:rFonts w:ascii="Times New Roman" w:hAnsi="Times New Roman"/>
          <w:color w:val="000000"/>
          <w:sz w:val="28"/>
        </w:rPr>
      </w:pPr>
    </w:p>
    <w:p w14:paraId="B700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IX. Особенности формирования систем оплаты труда работников</w:t>
      </w:r>
    </w:p>
    <w:p w14:paraId="B800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сферы образования</w:t>
      </w:r>
    </w:p>
    <w:p w14:paraId="B9000000">
      <w:pPr>
        <w:pStyle w:val="Style_1"/>
        <w:spacing w:after="0" w:before="0" w:line="240" w:lineRule="auto"/>
        <w:ind w:firstLine="709" w:left="0"/>
        <w:jc w:val="both"/>
        <w:rPr>
          <w:rFonts w:ascii="Times New Roman" w:hAnsi="Times New Roman"/>
          <w:color w:val="000000"/>
          <w:sz w:val="28"/>
        </w:rPr>
      </w:pPr>
    </w:p>
    <w:p w14:paraId="B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2024 году необходимо учитывать следующее.</w:t>
      </w:r>
    </w:p>
    <w:p w14:paraId="B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36.1. Не допускать снижения уровня заработной платы работников образовательных учреждений, в том числе педагогических работников, достигнутого в 2023 году и определяемого на основе статистических данных Федеральной службы государственной статистики.</w:t>
      </w:r>
    </w:p>
    <w:p w14:paraId="B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36.2. В целях развития кадрового потенциала, повышения престижности и привлекательности педагогической профессии, 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14:paraId="B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14:paraId="B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14:paraId="B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36.5. 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Российской Федерации, а также учитывая проведение на федеральном уровне работы по подготовке предложений по реализации положений части 8 и 9 статьи 144 Трудового кодекса Российской Федерации,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14:paraId="C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т.е. установление их в новых размерах;</w:t>
      </w:r>
    </w:p>
    <w:p w14:paraId="C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учитывать, что квалификационные уровни ПКГ педагогических работников, как должностей работников, имеющих важное социальное значение &lt;1&gt;,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w:t>
      </w:r>
    </w:p>
    <w:p w14:paraId="C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w:t>
      </w:r>
    </w:p>
    <w:p w14:paraId="C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&lt;1&gt; Основание приказ Минздравсоцразвития России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14:paraId="C4000000">
      <w:pPr>
        <w:pStyle w:val="Style_1"/>
        <w:spacing w:after="0" w:before="0" w:line="240" w:lineRule="auto"/>
        <w:ind w:firstLine="709" w:left="0"/>
        <w:jc w:val="both"/>
        <w:rPr>
          <w:rFonts w:ascii="Times New Roman" w:hAnsi="Times New Roman"/>
          <w:color w:val="000000"/>
          <w:sz w:val="28"/>
        </w:rPr>
      </w:pPr>
    </w:p>
    <w:p w14:paraId="C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w:t>
      </w:r>
    </w:p>
    <w:p w14:paraId="C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провести работу по упорядочению применяемых наименований и видов выплат в структуре заработной платы;</w:t>
      </w:r>
    </w:p>
    <w:p w14:paraId="C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w:t>
      </w:r>
    </w:p>
    <w:p w14:paraId="C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36.5.1. Рекомендуемый единый перечень видов выплат компенсационного характера:</w:t>
      </w:r>
    </w:p>
    <w:p w14:paraId="C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выплаты, предусмотренные Трудовым кодексом Российской Федерации и иными нормативными правовыми актами Российской Федерации;</w:t>
      </w:r>
    </w:p>
    <w:p w14:paraId="C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w:t>
      </w:r>
    </w:p>
    <w:p w14:paraId="C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w:t>
      </w:r>
    </w:p>
    <w:p w14:paraId="C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проверку письменных работ с учетом фактического объема учебной нагрузки;</w:t>
      </w:r>
    </w:p>
    <w:p w14:paraId="C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заведование учебными кабинетами, лабораториями;</w:t>
      </w:r>
    </w:p>
    <w:p w14:paraId="C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заведование мастерскими, учебно-опытными участками;</w:t>
      </w:r>
    </w:p>
    <w:p w14:paraId="C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p w14:paraId="D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14:paraId="D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p w14:paraId="D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выплаты за особенности работы в образовательных организациях:</w:t>
      </w:r>
    </w:p>
    <w:p w14:paraId="D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w:t>
      </w:r>
    </w:p>
    <w:p w14:paraId="D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w:t>
      </w:r>
    </w:p>
    <w:p w14:paraId="D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педагогическими работниками, непосредственно осуществляющими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w:t>
      </w:r>
    </w:p>
    <w:p w14:paraId="D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педагогическими работниками, непосредственно осуществляющими индивидуальное или групповое обучение детей, находящихся на длительном лечении в медицинской организации;</w:t>
      </w:r>
    </w:p>
    <w:p w14:paraId="D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в организациях, для детей-сирот и детей, оставшихся без попечения родителей, профессиональных образовательных организациях (группах) для детей-сирот и детей, оставшихся без попечения родителей;</w:t>
      </w:r>
    </w:p>
    <w:p w14:paraId="D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D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работы в образовательных организациях, созданных при исправительных учреждениях уголовно-исполнительной системы.</w:t>
      </w:r>
    </w:p>
    <w:p w14:paraId="D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36.5.2. Рекомендуемый единый перечень видов выплат стимулирующего характера:</w:t>
      </w:r>
    </w:p>
    <w:p w14:paraId="D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за наличие первой или высшей квалификационной категории;</w:t>
      </w:r>
    </w:p>
    <w:p w14:paraId="D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за работу в сельской местности;</w:t>
      </w:r>
    </w:p>
    <w:p w14:paraId="D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молодым специалистам, осуществляющим педагогическую деятельность;</w:t>
      </w:r>
    </w:p>
    <w:p w14:paraId="D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p>
    <w:p w14:paraId="D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p>
    <w:p w14:paraId="E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14:paraId="E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w:t>
      </w:r>
    </w:p>
    <w:p w14:paraId="E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Минпросвещения России от 12 мая 2020 г. № ВБ-1011/08);</w:t>
      </w:r>
    </w:p>
    <w:p w14:paraId="E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от 7 сентября 2020 г. № ВБ-1700/08);</w:t>
      </w:r>
    </w:p>
    <w:p w14:paraId="E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разъяснений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 письмо Минпросвещения России от 6 декабря 2023 г. № АБ-5037/05;</w:t>
      </w:r>
    </w:p>
    <w:p w14:paraId="E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положений Отраслевого соглашения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14:paraId="E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положений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рекомендуемых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14:paraId="E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Минпросвещения России от 3 ноября 2023 г. № 829 (зарегистрирован Минюстом России от 7 декабря 2023 г., регистрационный номер 76307), применяемого при разработке Положения об оплате труда соответствующей образовательной организацией и для установления размеров окладов (должностных окладов), ставок заработной платы работников по квалификационным уровням профессионально-квалификационных групп;</w:t>
      </w:r>
    </w:p>
    <w:p w14:paraId="E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Минобрнауки России от 1 февраля 2021 г. № 71 (зарегистрирован Минюстом России от 20 апреля 2021 г., регистрационный № 63182) с учетом его актуализации,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работников по квалификационным уровням профессиональных квалификационных групп.</w:t>
      </w:r>
    </w:p>
    <w:p w14:paraId="E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14:paraId="E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w:t>
      </w:r>
    </w:p>
    <w:p w14:paraId="E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 25, 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"должностной оклад" (оклад) при оплате таких работников не применяется.</w:t>
      </w:r>
    </w:p>
    <w:p w14:paraId="E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с учетом части третьей статьи 333 Трудового кодекса Российской Федерации.</w:t>
      </w:r>
    </w:p>
    <w:p w14:paraId="E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
    <w:p w14:paraId="E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36.7.2. 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14:paraId="E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для педагогических работников, поименованных в пунктах 2.3 - 2.7 и в подпункте 2.8.1 приказа №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14:paraId="F0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приказа № 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14:paraId="F1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36.7.3. Согласно пункту 2.2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14:paraId="F2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достигающем 18 часов в неделю, и виде педагогической работы, которая будет выполняться им в счет догрузки без дополнительной оплаты.</w:t>
      </w:r>
    </w:p>
    <w:p w14:paraId="F3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 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приложения № 2 к приказу № 1601, с учетом которого:</w:t>
      </w:r>
    </w:p>
    <w:p w14:paraId="F4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14:paraId="F5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14:paraId="F6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36.8.1. При этом следует иметь в виду, что в соответствии с подпунктами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 часов в учебном году.</w:t>
      </w:r>
    </w:p>
    <w:p w14:paraId="F7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14:paraId="F8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Минобрнауки России, поименованными в пункте 6.3 приложения 2 к приказу № 1601. При расчете норм времени педагогических работников, отнесенных к профессорско-преподавательскому составу, в соответствии с п. 6.2 Отраслевого соглашения 1 академический час учебной нагрузки принимается за 1 астрономический час рабочего времени.</w:t>
      </w:r>
    </w:p>
    <w:p w14:paraId="F9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36.8.4. При применении пункта 6.3 приложения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пунктами 25 - 28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2021 г. № 245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FA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14:paraId="FB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занимаемая педагогическим работником должность;</w:t>
      </w:r>
    </w:p>
    <w:p w14:paraId="FC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нормы времени по видам учебной деятельности, утвержденные локальным нормативным актом организации;</w:t>
      </w:r>
    </w:p>
    <w:p w14:paraId="FD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положения раздела VII приложения к приказу Минобрнауки России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14:paraId="FE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36.9. Согласно пункту 4.1 раздела IV и пункту 5.1 раздела V приложения к приказу Минобрнауки России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14:paraId="FF00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Минобрнауки России от 11 мая 2016 г. № 536, установленных для режима рабочего времени работников в каникулярное время.</w:t>
      </w:r>
    </w:p>
    <w:p w14:paraId="0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14:paraId="0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36.10. При переводе в соответствии с частью 8 статьи 3 Федерального закона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работников физкультурно-спортивных организаций с наименованием должности "тренер" на должности педагогических работников с наименованиями "тренер-преподаватель", "старший тренер-преподаватель" применяются соответствующие положения, регулируемые нормативными правовыми актами, предусмотренными настоящим разделом.</w:t>
      </w:r>
    </w:p>
    <w:p w14:paraId="0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36.10.1.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"тренер" </w:t>
      </w:r>
      <w:r>
        <w:rPr>
          <w:rFonts w:ascii="Times New Roman" w:hAnsi="Times New Roman"/>
          <w:color w:val="000000"/>
          <w:sz w:val="28"/>
        </w:rPr>
        <w:fldChar w:fldCharType="begin"/>
      </w:r>
      <w:r>
        <w:rPr>
          <w:rFonts w:ascii="Times New Roman" w:hAnsi="Times New Roman"/>
          <w:color w:val="000000"/>
          <w:sz w:val="28"/>
        </w:rPr>
        <w:instrText>HYPERLINK \l "Par309" \o "XII. Особенности формирования систем оплаты труда"</w:instrText>
      </w:r>
      <w:r>
        <w:rPr>
          <w:rFonts w:ascii="Times New Roman" w:hAnsi="Times New Roman"/>
          <w:color w:val="000000"/>
          <w:sz w:val="28"/>
        </w:rPr>
        <w:fldChar w:fldCharType="separate"/>
      </w:r>
      <w:r>
        <w:rPr>
          <w:rFonts w:ascii="Times New Roman" w:hAnsi="Times New Roman"/>
          <w:color w:val="000000"/>
          <w:sz w:val="28"/>
        </w:rPr>
        <w:t>разделом XII</w:t>
      </w:r>
      <w:r>
        <w:rPr>
          <w:rFonts w:ascii="Times New Roman" w:hAnsi="Times New Roman"/>
          <w:color w:val="000000"/>
          <w:sz w:val="28"/>
        </w:rPr>
        <w:fldChar w:fldCharType="end"/>
      </w:r>
      <w:r>
        <w:rPr>
          <w:rFonts w:ascii="Times New Roman" w:hAnsi="Times New Roman"/>
          <w:color w:val="000000"/>
          <w:sz w:val="28"/>
        </w:rPr>
        <w:t xml:space="preserve"> настоящих Рекомендаций.</w:t>
      </w:r>
    </w:p>
    <w:p w14:paraId="0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36.10.2. В отношении тренеров-преподавателей, переведенных с должностей "тренеров" и "старших тренеров"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 и применять положения Методических рекомендаций по организации деятельности организаций, реализующих дополнительные образовательные программы спортивной подготовки с учетом применения норм Федерального закона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утвержденные Минспортом России совместно с Рособрнадзором и Роспотребнадзором по согласованию с Минпросвещения России.</w:t>
      </w:r>
    </w:p>
    <w:p w14:paraId="0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14:paraId="0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w:t>
      </w:r>
    </w:p>
    <w:p w14:paraId="0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14:paraId="07010000">
      <w:pPr>
        <w:pStyle w:val="Style_1"/>
        <w:spacing w:after="0" w:before="0" w:line="240" w:lineRule="auto"/>
        <w:ind w:firstLine="709" w:left="0"/>
        <w:jc w:val="both"/>
        <w:rPr>
          <w:rFonts w:ascii="Times New Roman" w:hAnsi="Times New Roman"/>
          <w:color w:val="000000"/>
          <w:sz w:val="28"/>
        </w:rPr>
      </w:pPr>
    </w:p>
    <w:p w14:paraId="08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 Особенности формирования систем оплаты труда работников</w:t>
      </w:r>
    </w:p>
    <w:p w14:paraId="09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и муниципальных учреждений здравоохранения</w:t>
      </w:r>
    </w:p>
    <w:p w14:paraId="0A010000">
      <w:pPr>
        <w:pStyle w:val="Style_1"/>
        <w:spacing w:after="0" w:before="0" w:line="240" w:lineRule="auto"/>
        <w:ind w:firstLine="709" w:left="0"/>
        <w:jc w:val="right"/>
        <w:rPr>
          <w:rFonts w:ascii="Times New Roman" w:hAnsi="Times New Roman"/>
          <w:color w:val="000000"/>
          <w:sz w:val="28"/>
        </w:rPr>
      </w:pPr>
    </w:p>
    <w:p w14:paraId="0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14:paraId="0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обеспечение в 2024 году сохранения установленных Указом Президента Российской Федерации от 7 мая 2012 г. № 597 "О мероприятиях по реализации государственной социальной политики" показателей оплаты труда отдельных категорий медицинских работников;</w:t>
      </w:r>
    </w:p>
    <w:p w14:paraId="0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14:paraId="0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14:paraId="0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 без учета компенсационных выплат за работу в особых климатических условиях;</w:t>
      </w:r>
    </w:p>
    <w:p w14:paraId="1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14:paraId="1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14:paraId="1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14:paraId="1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14:paraId="1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14:paraId="1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пункте 29 Методики проведения специальной оценки условий труда, утвержденной приказом Минтруда России от 24 января 2014 г. № 33н, а с 1 сентября 2024 г. приказом Минтруда России от 21 ноября 2023 г. № 817н.</w:t>
      </w:r>
    </w:p>
    <w:p w14:paraId="1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оценке воздействия биологического фактора на рабочих местах медицинских и иных работников следует руководствоваться в том числе совместным письмом Минтруда России (№ 15-1/10/В-7756), Минздрава России (№ 16-6/10/2-6553), Профсоюза работников здравоохранения Российской Федерации (№ 01-А/475) от 9 октября 2018 г. "Об отнесении условий труда к классу (подклассу) условий труда при воздействии биологического фактора (работы с патогенными микроорганизмами)",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14:paraId="17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принятием локальных нормативных актов, либо коллективным договором, трудовым договором.</w:t>
      </w:r>
    </w:p>
    <w:p w14:paraId="1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14:paraId="1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14:paraId="1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14:paraId="1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Если по итогам специальной оценки условий труда рабочее место признается безопасным, повышение оплаты труда не производится.</w:t>
      </w:r>
    </w:p>
    <w:p w14:paraId="1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14:paraId="1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предусматривать выплаты медицинским работникам за дополнительную работу, связанную с наставничеством;</w:t>
      </w:r>
    </w:p>
    <w:p w14:paraId="1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14:paraId="1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14:paraId="2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14:paraId="2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14:paraId="2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 должностей медицинских работников и фармацевтических работников, утвержденной приказом Минздрава России от 2 мая 2023 г. № 205н;</w:t>
      </w:r>
    </w:p>
    <w:p w14:paraId="2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14:paraId="2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14:paraId="2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с)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постановления Правительства Российской Федерации от 30 декабря 2019 г. № 1940 "Об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приказа Минздрава России от 26 января 2022 г. № 25н;</w:t>
      </w:r>
    </w:p>
    <w:p w14:paraId="2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Минздрава России от 2 апреля 2020 г. № 266н. Размер стимулирующих выплат рекомендуется устанавливать в зависимости от качества оказанной медицинской помощи, оцениваемого в соответствии с критериями качества медицинской помощи, предусмотренными в соответствии с приказом Минздрава России от 2 апреля 2020 г. № 266н.</w:t>
      </w:r>
    </w:p>
    <w:p w14:paraId="27010000">
      <w:pPr>
        <w:pStyle w:val="Style_1"/>
        <w:spacing w:after="0" w:before="0" w:line="240" w:lineRule="auto"/>
        <w:ind w:firstLine="709" w:left="0"/>
        <w:jc w:val="both"/>
        <w:rPr>
          <w:rFonts w:ascii="Times New Roman" w:hAnsi="Times New Roman"/>
          <w:color w:val="000000"/>
          <w:sz w:val="28"/>
        </w:rPr>
      </w:pPr>
    </w:p>
    <w:p w14:paraId="28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XI. Особенности формирования систем оплаты труда работников</w:t>
      </w:r>
    </w:p>
    <w:p w14:paraId="29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и муниципальных учреждений в сфере культуры</w:t>
      </w:r>
    </w:p>
    <w:p w14:paraId="2A010000">
      <w:pPr>
        <w:pStyle w:val="Style_1"/>
        <w:spacing w:after="0" w:before="0" w:line="240" w:lineRule="auto"/>
        <w:ind w:firstLine="709" w:left="0"/>
        <w:jc w:val="right"/>
        <w:rPr>
          <w:rFonts w:ascii="Times New Roman" w:hAnsi="Times New Roman"/>
          <w:color w:val="000000"/>
          <w:sz w:val="28"/>
        </w:rPr>
      </w:pPr>
    </w:p>
    <w:p w14:paraId="2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14:paraId="2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обеспечивать недопущение снижения установленного Указом Президента Российской Федерации от 7 мая 2012 г. № 597 "О мероприятиях по реализации государственной социальной политики" показателя оплаты труда работников учреждений культуры;</w:t>
      </w:r>
    </w:p>
    <w:p w14:paraId="2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14:paraId="2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2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14:paraId="3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14:paraId="3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14:paraId="3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3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14:paraId="3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14:paraId="35010000">
      <w:pPr>
        <w:pStyle w:val="Style_1"/>
        <w:spacing w:after="0" w:before="0" w:line="240" w:lineRule="auto"/>
        <w:ind w:firstLine="709" w:left="0"/>
        <w:jc w:val="both"/>
        <w:rPr>
          <w:rFonts w:ascii="Times New Roman" w:hAnsi="Times New Roman"/>
          <w:color w:val="000000"/>
          <w:sz w:val="28"/>
        </w:rPr>
      </w:pPr>
    </w:p>
    <w:p w14:paraId="36010000">
      <w:pPr>
        <w:pStyle w:val="Style_2"/>
        <w:spacing w:after="0" w:before="0" w:line="240" w:lineRule="auto"/>
        <w:ind w:firstLine="709" w:left="0"/>
        <w:jc w:val="center"/>
        <w:outlineLvl w:val="0"/>
        <w:rPr>
          <w:rFonts w:ascii="Times New Roman" w:hAnsi="Times New Roman"/>
          <w:color w:val="000000"/>
          <w:sz w:val="28"/>
        </w:rPr>
      </w:pPr>
      <w:bookmarkStart w:id="7" w:name="Par309"/>
      <w:bookmarkEnd w:id="7"/>
      <w:r>
        <w:rPr>
          <w:rFonts w:ascii="Times New Roman" w:hAnsi="Times New Roman"/>
          <w:color w:val="000000"/>
          <w:sz w:val="28"/>
        </w:rPr>
        <w:t>XII. Особенности формирования систем оплаты труда</w:t>
      </w:r>
    </w:p>
    <w:p w14:paraId="37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работников государственных и муниципальных учреждений</w:t>
      </w:r>
    </w:p>
    <w:p w14:paraId="38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физической культуры и спорта</w:t>
      </w:r>
    </w:p>
    <w:p w14:paraId="39010000">
      <w:pPr>
        <w:pStyle w:val="Style_1"/>
        <w:spacing w:after="0" w:before="0" w:line="240" w:lineRule="auto"/>
        <w:ind w:firstLine="709" w:left="0"/>
        <w:jc w:val="center"/>
        <w:rPr>
          <w:rFonts w:ascii="Times New Roman" w:hAnsi="Times New Roman"/>
          <w:color w:val="000000"/>
          <w:sz w:val="28"/>
        </w:rPr>
      </w:pPr>
    </w:p>
    <w:p w14:paraId="3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14:paraId="3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14:paraId="3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2024 году уровня номинальной заработной платы в среднем не ниже уровня, достигнутого в 2023 году (определяется на основе статистических данных, формируемых Минспортом России по форме №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ежегодно утверждаемой Росстатом.</w:t>
      </w:r>
    </w:p>
    <w:p w14:paraId="3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14:paraId="3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14:paraId="3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14:paraId="4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14:paraId="4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14:paraId="4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Минспортом 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"Ассоциация работодателей в сфере физической культуры, спорта, и спортивной индустрии".</w:t>
      </w:r>
    </w:p>
    <w:p w14:paraId="4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14:paraId="4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14:paraId="4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14:paraId="4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14:paraId="47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Объем тренерской учебно-тренировочной нагрузки, установленный работнику, оговаривается в трудовом договоре (дополнительном соглашении к трудовому договору).</w:t>
      </w:r>
    </w:p>
    <w:p w14:paraId="4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4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4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14:paraId="4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14:paraId="4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14:paraId="4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14:paraId="4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14:paraId="4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14:paraId="5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"олимпийский", "паралимпийский", "сурдлимпийский"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14:paraId="5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14:paraId="5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14:paraId="5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14:paraId="5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5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14:paraId="5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14:paraId="57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14:paraId="5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14:paraId="5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14:paraId="5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14:paraId="5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14:paraId="5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14:paraId="5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14:paraId="5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14:paraId="5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14:paraId="6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в профессиональных спортивных соревнованиях.</w:t>
      </w:r>
    </w:p>
    <w:p w14:paraId="6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14:paraId="6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14:paraId="6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Рекомендовать устанавливать стимулирующие выплаты работникам центров спортивной подготовки за работу по выявлению, отбору и сопровождению спортивно-одаренных детей.</w:t>
      </w:r>
    </w:p>
    <w:p w14:paraId="64010000">
      <w:pPr>
        <w:pStyle w:val="Style_1"/>
        <w:spacing w:after="0" w:before="0" w:line="240" w:lineRule="auto"/>
        <w:ind w:firstLine="709" w:left="0"/>
        <w:jc w:val="both"/>
        <w:rPr>
          <w:rFonts w:ascii="Times New Roman" w:hAnsi="Times New Roman"/>
          <w:color w:val="000000"/>
          <w:sz w:val="28"/>
        </w:rPr>
      </w:pPr>
    </w:p>
    <w:p w14:paraId="65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XIII. Особенности формирования систем оплаты труда</w:t>
      </w:r>
    </w:p>
    <w:p w14:paraId="66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работников государственных учреждений ветеринарии</w:t>
      </w:r>
    </w:p>
    <w:p w14:paraId="67010000">
      <w:pPr>
        <w:pStyle w:val="Style_1"/>
        <w:spacing w:after="0" w:before="0" w:line="240" w:lineRule="auto"/>
        <w:ind w:firstLine="709" w:left="0"/>
        <w:jc w:val="both"/>
        <w:rPr>
          <w:rFonts w:ascii="Times New Roman" w:hAnsi="Times New Roman"/>
          <w:color w:val="000000"/>
          <w:sz w:val="28"/>
        </w:rPr>
      </w:pPr>
    </w:p>
    <w:p w14:paraId="6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14:paraId="6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не допускать снижения уровня заработной платы работников государственных учреждений ветеринарии, достигнутого в 2023 году;</w:t>
      </w:r>
    </w:p>
    <w:p w14:paraId="6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14:paraId="6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14:paraId="6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14:paraId="6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14:paraId="6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14:paraId="6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7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повышать оплату труда работников государственных учреждений ветеринарии за счет всех источников финансирования в рамках реализации Отраслевого соглашения по агропромышленному комплексу Российской Федерации для поэтапного достижения уровня оплаты труда не ниже размера среднемесячной заработной платы работников по субъекту Российской Федерации;</w:t>
      </w:r>
    </w:p>
    <w:p w14:paraId="7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приказами Минздравсоцразвития России от 17 июля 2008 г. № 339н "Об утверждении профессиональных квалификационных групп должностей работников сельского хозяйства", от 29 мая 2008 г. № 247-н "Об утверждении профессиональных квалификационных групп общеотраслевых должностей руководителей, специалистов и служащих" и от 29 мая 2008 г. № 248-н "Об утверждении профессиональных квалификационных групп общеотраслевых профессий рабочих";</w:t>
      </w:r>
    </w:p>
    <w:p w14:paraId="72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14:paraId="73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14:paraId="74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14:paraId="7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14:paraId="7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 соглашением по агропромышленному комплексу Российской Федерации.</w:t>
      </w:r>
    </w:p>
    <w:p w14:paraId="77010000">
      <w:pPr>
        <w:pStyle w:val="Style_1"/>
        <w:spacing w:after="0" w:before="0" w:line="240" w:lineRule="auto"/>
        <w:ind w:firstLine="709" w:left="0"/>
        <w:jc w:val="both"/>
        <w:rPr>
          <w:rFonts w:ascii="Times New Roman" w:hAnsi="Times New Roman"/>
          <w:color w:val="000000"/>
          <w:sz w:val="28"/>
        </w:rPr>
      </w:pPr>
    </w:p>
    <w:p w14:paraId="78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XIV. Особенности формирования систем оплаты труда работников</w:t>
      </w:r>
    </w:p>
    <w:p w14:paraId="79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государственных учреждений лесного хозяйства</w:t>
      </w:r>
    </w:p>
    <w:p w14:paraId="7A010000">
      <w:pPr>
        <w:pStyle w:val="Style_1"/>
        <w:spacing w:after="0" w:before="0" w:line="240" w:lineRule="auto"/>
        <w:ind w:firstLine="709" w:left="0"/>
        <w:jc w:val="center"/>
        <w:rPr>
          <w:rFonts w:ascii="Times New Roman" w:hAnsi="Times New Roman"/>
          <w:color w:val="000000"/>
          <w:sz w:val="28"/>
        </w:rPr>
      </w:pPr>
    </w:p>
    <w:p w14:paraId="7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рекомендовать учитывать следующее:</w:t>
      </w:r>
    </w:p>
    <w:p w14:paraId="7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не допускать снижения уровня заработной платы работников государственных учреждений лесного хозяйства, достигнутого в 2023 году;</w:t>
      </w:r>
    </w:p>
    <w:p w14:paraId="7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обеспечивать в структуре заработной платы долю окладов (должностных окладов) не ниже 70%;</w:t>
      </w:r>
    </w:p>
    <w:p w14:paraId="7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14:paraId="7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14:paraId="80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14:paraId="81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в соответствии с п. 2.7.1 Отраслевого соглашения по лесному хозяйству Российской Федерации на 2022 - 2024 годы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14:paraId="82010000">
      <w:pPr>
        <w:pStyle w:val="Style_1"/>
        <w:spacing w:after="0" w:before="0" w:line="240" w:lineRule="auto"/>
        <w:ind w:firstLine="709" w:left="0"/>
        <w:jc w:val="both"/>
        <w:rPr>
          <w:rFonts w:ascii="Times New Roman" w:hAnsi="Times New Roman"/>
          <w:color w:val="000000"/>
          <w:sz w:val="28"/>
        </w:rPr>
      </w:pPr>
    </w:p>
    <w:p w14:paraId="83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XV. Особенности формирования систем оплаты труда работников</w:t>
      </w:r>
    </w:p>
    <w:p w14:paraId="84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учреждений службы занятости населения</w:t>
      </w:r>
    </w:p>
    <w:p w14:paraId="85010000">
      <w:pPr>
        <w:pStyle w:val="Style_1"/>
        <w:spacing w:after="0" w:before="0" w:line="240" w:lineRule="auto"/>
        <w:ind w:firstLine="709" w:left="0"/>
        <w:jc w:val="center"/>
        <w:rPr>
          <w:rFonts w:ascii="Times New Roman" w:hAnsi="Times New Roman"/>
          <w:color w:val="000000"/>
          <w:sz w:val="28"/>
        </w:rPr>
      </w:pPr>
    </w:p>
    <w:p w14:paraId="8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2024 году рекомендовать учитывать следующее:</w:t>
      </w:r>
    </w:p>
    <w:p w14:paraId="87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14:paraId="8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14:paraId="8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14:paraId="8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14:paraId="8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14:paraId="8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14:paraId="8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при увеличении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8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14:paraId="8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"эффективного контракта".</w:t>
      </w:r>
    </w:p>
    <w:p w14:paraId="90010000">
      <w:pPr>
        <w:pStyle w:val="Style_1"/>
        <w:spacing w:after="0" w:before="0" w:line="240" w:lineRule="auto"/>
        <w:ind w:firstLine="709" w:left="0"/>
        <w:jc w:val="both"/>
        <w:rPr>
          <w:rFonts w:ascii="Times New Roman" w:hAnsi="Times New Roman"/>
          <w:color w:val="000000"/>
          <w:sz w:val="28"/>
        </w:rPr>
      </w:pPr>
    </w:p>
    <w:p w14:paraId="91010000">
      <w:pPr>
        <w:pStyle w:val="Style_2"/>
        <w:spacing w:after="0" w:before="0" w:line="240" w:lineRule="auto"/>
        <w:ind w:firstLine="709" w:left="0"/>
        <w:jc w:val="center"/>
        <w:outlineLvl w:val="0"/>
        <w:rPr>
          <w:rFonts w:ascii="Times New Roman" w:hAnsi="Times New Roman"/>
          <w:color w:val="000000"/>
          <w:sz w:val="28"/>
        </w:rPr>
      </w:pPr>
      <w:r>
        <w:rPr>
          <w:rFonts w:ascii="Times New Roman" w:hAnsi="Times New Roman"/>
          <w:color w:val="000000"/>
          <w:sz w:val="28"/>
        </w:rPr>
        <w:t>XVI. Особенности формирования систем оплаты труда</w:t>
      </w:r>
    </w:p>
    <w:p w14:paraId="92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работников государственных и муниципальных учреждений</w:t>
      </w:r>
    </w:p>
    <w:p w14:paraId="93010000">
      <w:pPr>
        <w:pStyle w:val="Style_2"/>
        <w:spacing w:after="0" w:before="0" w:line="240" w:lineRule="auto"/>
        <w:ind w:firstLine="709" w:left="0"/>
        <w:jc w:val="center"/>
        <w:rPr>
          <w:rFonts w:ascii="Times New Roman" w:hAnsi="Times New Roman"/>
          <w:color w:val="000000"/>
          <w:sz w:val="28"/>
        </w:rPr>
      </w:pPr>
      <w:r>
        <w:rPr>
          <w:rFonts w:ascii="Times New Roman" w:hAnsi="Times New Roman"/>
          <w:color w:val="000000"/>
          <w:sz w:val="28"/>
        </w:rPr>
        <w:t>жилищно-коммунального хозяйства</w:t>
      </w:r>
    </w:p>
    <w:p w14:paraId="94010000">
      <w:pPr>
        <w:pStyle w:val="Style_1"/>
        <w:spacing w:after="0" w:before="0" w:line="240" w:lineRule="auto"/>
        <w:ind w:firstLine="709" w:left="0"/>
        <w:jc w:val="center"/>
        <w:rPr>
          <w:rFonts w:ascii="Times New Roman" w:hAnsi="Times New Roman"/>
          <w:color w:val="000000"/>
          <w:sz w:val="28"/>
        </w:rPr>
      </w:pPr>
    </w:p>
    <w:p w14:paraId="95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 При этом:</w:t>
      </w:r>
    </w:p>
    <w:p w14:paraId="96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в государственных и муниципальных учреждениях жилищно-коммунального хозяйства рекомендуется применять тарифную систему оплаты труда;</w:t>
      </w:r>
    </w:p>
    <w:p w14:paraId="97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правовых актов социального партнерства в сфере труда (отраслевых тарифных соглашений, коллективных договоров) и локальных нормативных актов;</w:t>
      </w:r>
    </w:p>
    <w:p w14:paraId="98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при разработке систем оплаты труда государственных и муниципальных учреждений жилищно-коммунального хозяйства рекомендуется предусматривать особенности нормирования и оплаты труда работников, в том числе на вновь вводимых объектах, учитывая организационно-технические условия выполнения работ, с учетом специфики трудовой деятельности и особенностей, установленных в ФОТС;</w:t>
      </w:r>
    </w:p>
    <w:p w14:paraId="99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заработная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различий в сложности труда. В случае возможного применения приказа Министерства жилищно-коммунального хозяйства РСФСР от 5 декабря 1986 г. № 505 и постановления Госкомтруда СССР и Секретариата ВЦСПС от 21 февраля 1990 г. № 66/3-138 "О 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 следует учитывать фактические различия в сложности труда, актуальные требования к работникам и трудовым процессам;</w:t>
      </w:r>
    </w:p>
    <w:p w14:paraId="9A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системы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ФОТС;</w:t>
      </w:r>
    </w:p>
    <w:p w14:paraId="9B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учитывая переход государственных и муниципальных учреждений жилищно-коммунального хозяйства на применение профессиональных стандартов в соответствии с постановлением Правительства Российской Федерации от 27 июня 2016 г. №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14:paraId="9C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оплата труда осуществляется за счет выделяемых на эти цели бюджетных ассигнований, средств, поступающих от приносящей доход деятельности, а также средств, получаемых по результатам проведения мероприятий, направленных на повышение эффективности бюджетных расходов;</w:t>
      </w:r>
    </w:p>
    <w:p w14:paraId="9D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повышение заработной платы специалистов учреждений жилищно-коммунальной сферы осуществляется преимущественно за счет оптимизации деятельности таких учреждений, повышения эффективности производственных процессов, в том числе за счет привлечения более квалифицированных кадров;</w:t>
      </w:r>
    </w:p>
    <w:p w14:paraId="9E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рост заработной платы специалистов учреждений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 граждан за коммунальные услуги;</w:t>
      </w:r>
    </w:p>
    <w:p w14:paraId="9F010000">
      <w:pPr>
        <w:pStyle w:val="Style_1"/>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конкретная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ее оплаты устанавливаются непосредственно в учреждениях локальными нормативными актами, принимаемыми с учетом мнения выборного профсоюзного органа работников, указанный порядок оплаты целесообразно устанавливать также коллективными договорами.</w:t>
      </w:r>
    </w:p>
    <w:p w14:paraId="A0010000">
      <w:pPr>
        <w:pStyle w:val="Style_1"/>
        <w:spacing w:after="0" w:before="0" w:line="240" w:lineRule="auto"/>
        <w:ind w:firstLine="709" w:left="0"/>
        <w:jc w:val="both"/>
        <w:rPr>
          <w:rFonts w:ascii="Times New Roman" w:hAnsi="Times New Roman"/>
          <w:color w:val="000000"/>
          <w:sz w:val="28"/>
        </w:rPr>
      </w:pPr>
    </w:p>
    <w:p w14:paraId="A1010000">
      <w:pPr>
        <w:pStyle w:val="Style_1"/>
        <w:spacing w:after="0" w:before="0" w:line="240" w:lineRule="auto"/>
        <w:ind w:firstLine="709" w:left="0"/>
        <w:jc w:val="both"/>
        <w:rPr>
          <w:rFonts w:ascii="Times New Roman" w:hAnsi="Times New Roman"/>
          <w:color w:val="000000"/>
          <w:sz w:val="28"/>
        </w:rPr>
      </w:pPr>
    </w:p>
    <w:p w14:paraId="A2010000">
      <w:pPr>
        <w:pStyle w:val="Style_1"/>
        <w:spacing w:after="0" w:before="0" w:line="240" w:lineRule="auto"/>
        <w:ind w:firstLine="709" w:left="0"/>
        <w:jc w:val="both"/>
        <w:rPr>
          <w:rFonts w:ascii="Times New Roman" w:hAnsi="Times New Roman"/>
          <w:color w:val="000000"/>
          <w:sz w:val="28"/>
        </w:rPr>
      </w:pPr>
    </w:p>
    <w:sectPr>
      <w:type w:val="nextPage"/>
      <w:pgSz w:h="16848" w:orient="portrait" w:w="11908"/>
      <w:pgMar w:bottom="567" w:footer="0" w:gutter="0" w:header="0" w:left="1134"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0"/>
        <w:i w:val="0"/>
        <w:strike w:val="0"/>
        <w:sz w:val="2"/>
        <w:u w:val="none"/>
      </w:rPr>
    </w:pPr>
    <w:r>
      <w:rPr>
        <w:b w:val="0"/>
        <w:i w:val="0"/>
        <w:strike w:val="0"/>
        <w:sz w:val="10"/>
        <w:u w:val="none"/>
      </w:rPr>
      <w:t xml:space="preserve"> </w:t>
    </w:r>
  </w:p>
  <w:p w14:paraId="03000000">
    <w:pPr>
      <w:pStyle w:val="Style_1"/>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TitlePage"/>
    <w:link w:val="Style_5_ch"/>
    <w:pPr>
      <w:widowControl w:val="0"/>
      <w:ind/>
    </w:pPr>
    <w:rPr>
      <w:rFonts w:ascii="Tahoma" w:hAnsi="Tahoma"/>
      <w:b w:val="0"/>
      <w:i w:val="0"/>
      <w:strike w:val="0"/>
      <w:sz w:val="24"/>
      <w:u w:val="none"/>
    </w:rPr>
  </w:style>
  <w:style w:styleId="Style_5_ch" w:type="character">
    <w:name w:val="ConsPlusTitlePage"/>
    <w:link w:val="Style_5"/>
    <w:rPr>
      <w:rFonts w:ascii="Tahoma" w:hAnsi="Tahoma"/>
      <w:b w:val="0"/>
      <w:i w:val="0"/>
      <w:strike w:val="0"/>
      <w:sz w:val="24"/>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ConsPlusTextList_0"/>
    <w:link w:val="Style_7_ch"/>
    <w:pPr>
      <w:widowControl w:val="0"/>
      <w:ind/>
    </w:pPr>
    <w:rPr>
      <w:rFonts w:ascii="Times New Roman" w:hAnsi="Times New Roman"/>
      <w:b w:val="0"/>
      <w:i w:val="0"/>
      <w:strike w:val="0"/>
      <w:sz w:val="24"/>
      <w:u w:val="none"/>
    </w:rPr>
  </w:style>
  <w:style w:styleId="Style_7_ch" w:type="character">
    <w:name w:val="ConsPlusTextList_0"/>
    <w:link w:val="Style_7"/>
    <w:rPr>
      <w:rFonts w:ascii="Times New Roman" w:hAnsi="Times New Roman"/>
      <w:b w:val="0"/>
      <w:i w:val="0"/>
      <w:strike w:val="0"/>
      <w:sz w:val="24"/>
      <w:u w:val="none"/>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ConsPlusTextList"/>
    <w:link w:val="Style_12_ch"/>
    <w:pPr>
      <w:widowControl w:val="0"/>
      <w:ind/>
    </w:pPr>
    <w:rPr>
      <w:rFonts w:ascii="Times New Roman" w:hAnsi="Times New Roman"/>
      <w:b w:val="0"/>
      <w:i w:val="0"/>
      <w:strike w:val="0"/>
      <w:sz w:val="24"/>
      <w:u w:val="none"/>
    </w:rPr>
  </w:style>
  <w:style w:styleId="Style_12_ch" w:type="character">
    <w:name w:val="ConsPlusTextList"/>
    <w:link w:val="Style_12"/>
    <w:rPr>
      <w:rFonts w:ascii="Times New Roman" w:hAnsi="Times New Roman"/>
      <w:b w:val="0"/>
      <w:i w:val="0"/>
      <w:strike w:val="0"/>
      <w:sz w:val="24"/>
      <w:u w:val="none"/>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ConsPlusJurTerm"/>
    <w:link w:val="Style_15_ch"/>
    <w:pPr>
      <w:widowControl w:val="0"/>
      <w:ind/>
    </w:pPr>
    <w:rPr>
      <w:rFonts w:ascii="Times New Roman" w:hAnsi="Times New Roman"/>
      <w:b w:val="0"/>
      <w:i w:val="0"/>
      <w:strike w:val="0"/>
      <w:sz w:val="24"/>
      <w:u w:val="none"/>
    </w:rPr>
  </w:style>
  <w:style w:styleId="Style_15_ch" w:type="character">
    <w:name w:val="ConsPlusJurTerm"/>
    <w:link w:val="Style_15"/>
    <w:rPr>
      <w:rFonts w:ascii="Times New Roman" w:hAnsi="Times New Roman"/>
      <w:b w:val="0"/>
      <w:i w:val="0"/>
      <w:strike w:val="0"/>
      <w:sz w:val="24"/>
      <w:u w:val="none"/>
    </w:rPr>
  </w:style>
  <w:style w:styleId="Style_16" w:type="paragraph">
    <w:name w:val="heading 1"/>
    <w:next w:val="Style_3"/>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ConsPlusCell"/>
    <w:link w:val="Style_20_ch"/>
    <w:pPr>
      <w:widowControl w:val="0"/>
      <w:ind/>
    </w:pPr>
    <w:rPr>
      <w:rFonts w:ascii="Courier New" w:hAnsi="Courier New"/>
      <w:b w:val="0"/>
      <w:i w:val="0"/>
      <w:strike w:val="0"/>
      <w:sz w:val="20"/>
      <w:u w:val="none"/>
    </w:rPr>
  </w:style>
  <w:style w:styleId="Style_20_ch" w:type="character">
    <w:name w:val="ConsPlusCell"/>
    <w:link w:val="Style_20"/>
    <w:rPr>
      <w:rFonts w:ascii="Courier New" w:hAnsi="Courier New"/>
      <w:b w:val="0"/>
      <w:i w:val="0"/>
      <w:strike w:val="0"/>
      <w:sz w:val="20"/>
      <w:u w:val="none"/>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DocList"/>
    <w:link w:val="Style_23_ch"/>
    <w:pPr>
      <w:widowControl w:val="0"/>
      <w:ind/>
    </w:pPr>
    <w:rPr>
      <w:rFonts w:ascii="Tahoma" w:hAnsi="Tahoma"/>
      <w:b w:val="0"/>
      <w:i w:val="0"/>
      <w:strike w:val="0"/>
      <w:sz w:val="18"/>
      <w:u w:val="none"/>
    </w:rPr>
  </w:style>
  <w:style w:styleId="Style_23_ch" w:type="character">
    <w:name w:val="ConsPlusDocList"/>
    <w:link w:val="Style_23"/>
    <w:rPr>
      <w:rFonts w:ascii="Tahoma" w:hAnsi="Tahoma"/>
      <w:b w:val="0"/>
      <w:i w:val="0"/>
      <w:strike w:val="0"/>
      <w:sz w:val="18"/>
      <w:u w:val="none"/>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ConsPlusNonformat"/>
    <w:link w:val="Style_29_ch"/>
    <w:pPr>
      <w:widowControl w:val="0"/>
      <w:ind/>
    </w:pPr>
    <w:rPr>
      <w:rFonts w:ascii="Courier New" w:hAnsi="Courier New"/>
      <w:b w:val="0"/>
      <w:i w:val="0"/>
      <w:strike w:val="0"/>
      <w:sz w:val="20"/>
      <w:u w:val="none"/>
    </w:rPr>
  </w:style>
  <w:style w:styleId="Style_29_ch" w:type="character">
    <w:name w:val="ConsPlusNonformat"/>
    <w:link w:val="Style_29"/>
    <w:rPr>
      <w:rFonts w:ascii="Courier New" w:hAnsi="Courier New"/>
      <w:b w:val="0"/>
      <w:i w:val="0"/>
      <w:strike w:val="0"/>
      <w:sz w:val="20"/>
      <w:u w:val="none"/>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2024-01-16T03:27:56Z</dcterms:modified>
</cp:coreProperties>
</file>