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ab/>
        <w:tab/>
        <w:tab/>
        <w:tab/>
        <w:tab/>
        <w:tab/>
        <w:t xml:space="preserve">                        </w:t>
      </w:r>
    </w:p>
    <w:p>
      <w:pPr>
        <w:pStyle w:val="Normal"/>
        <w:tabs>
          <w:tab w:val="clear" w:pos="708"/>
          <w:tab w:val="left" w:pos="1073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073" w:leader="none"/>
        </w:tabs>
        <w:ind w:left="1276" w:right="-337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Информация об основных итогах деятельности в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сфере регулирования трудовых отношений и государственного управления охраной труда в Камчатском крае в 2022 году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  <w:t xml:space="preserve">В течение 2022 года в Камчатском крае проводилась целенаправленная работа по реализации государственной политики в сфере регулирования социально-трудовых отношений на основе развития социального партнерства и социального диалога, на постоянной основе продолжалась работа краевой трехсторонней Комиссии по регулированию социально-трудовых отношений в Камчатском крае, расширялся круг рассматриваемых на ее заседаниях вопросов. 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Правительством Камчатского края в полной мере реализовывались обязательства краевого трехстороннего Соглашения между Правительством Камчатского края, Федерацией профсоюзов Камчатки и объединениями работодателей Камчатского края на 2020 - 2022 годы.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декабре прошлого года сторонами социального партнерства заключено новое трехстороннее Соглашение на 2023-2025 годы.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2022 году дважды заключалось региональное Соглашение «О минимальной заработной плате» – с 1 января и с 1 июня. На конец 2022 года ее размер составлял 15 279 руб., что соответствует уровню федерального минимального размера оплаты труда. С учетом применяемых на территории региона районных коэффициентов и полностью заработанных процентных надбавок к заработной плате за стаж работы в районах Крайнего Севера минимальная заработная плата составляла 39 725 руб., в Корякском округе – 42 781 руб., в Алеутском муниципальном округе – 45 837 руб.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последние годы стала заметно повышаться роль коллективных договоров на предприятиях и организациях региона, улучшается качество их содержания, как в государственном, так и в частном секторе экономики, поскольку заключение коллективного договора, как правило, является признаком стабильности организации и оказывает положительное влияние на мотивацию труда работников.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Министерством труда и развития кадрового потенциала Камчатского края (далее – Министерство) проведена уведомительная регистрация 53 коллективных договоров и 100 соглашений о внесении изменений и дополнений к коллективным договорам. В настоящее время в регионе действует порядка 200 коллективных договоров, численность охваченных работников составляет 40,5 тыс. человек.</w:t>
      </w:r>
    </w:p>
    <w:p>
      <w:pPr>
        <w:sectPr>
          <w:type w:val="nextPage"/>
          <w:pgSz w:w="11906" w:h="16838"/>
          <w:pgMar w:left="1150" w:right="668" w:gutter="0" w:header="0" w:top="940" w:footer="0" w:bottom="720"/>
          <w:pgNumType w:fmt="decimal"/>
          <w:formProt w:val="false"/>
          <w:textDirection w:val="lrTb"/>
          <w:docGrid w:type="default" w:linePitch="360" w:charSpace="24576"/>
        </w:sect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ru-RU" w:eastAsia="ru-RU" w:bidi="ar-SA"/>
        </w:rPr>
        <w:tab/>
        <w:t>Кроме того, в целях недопущения социальной напряженности в сфере трудовых отношений проводится профилактическая работа по предупреждению коллективных трудовых споров.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числу мер, реализуемых Министерством в целях обеспечения трудовых прав граждан, в том числе относится организация работы Координационного комитета по обеспечению своевременной выплаты заработной платы и легализации трудовых отношений на территории Камчатского края, деятельность которого направлена на соблюдение трудового законодательства в части обеспечения права работников на своевременную и в полном объеме выплату заработной платы, легализации трудовых отношений с целью снижения теневой занятости в регионе.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  <w:t>В состав Координационного комитета включены представители территориального органа федеральной службы государственной статистики по Камчатскому краю, отделения Социального фонда России по Камчатскому краю, Налоговой инспекции по Камчатскому краю, Государственной инспекции труда в Камчатском крае, Министерства труда и развития кадрового потенциала Камчатского края, Министерства экономического развития и торговли Камчатского края, Министерства экономического развития и торговли Камчатского края, а также представители Федерации профсоюзов Камчатки и Общественной палаты Камчатского края.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мониторинга и сверки данных о просроченной задолженности по заработной плате ежемесячно проводятся оперативные заседания Рабочей группы </w:t>
      </w:r>
      <w:r>
        <w:rPr>
          <w:sz w:val="28"/>
          <w:szCs w:val="28"/>
          <w:shd w:fill="auto" w:val="clear"/>
        </w:rPr>
        <w:t>по вопросу состояния задолженности по заработной плате в организациях всех форм собственности Камчатского края.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  <w:lang w:val="ru-RU" w:eastAsia="ru-RU" w:bidi="ar-SA"/>
        </w:rPr>
        <w:tab/>
      </w:r>
      <w:r>
        <w:rPr>
          <w:color w:val="000000"/>
          <w:sz w:val="28"/>
          <w:szCs w:val="28"/>
          <w:shd w:fill="auto" w:val="clear"/>
          <w:lang w:val="ru-RU" w:eastAsia="ru-RU" w:bidi="ru-RU"/>
        </w:rPr>
        <w:t>В результате проделанной в 2022 году работы из реестра предприятий-должников было исключено 6 предприятий за счет полного погашения задолженности перед 320 работниками. По состоянию на 01.01.2023 общая сумма задолженности по заработной плате зафиксирована всего перед 22 работниками 5 организаций Камчатского края. Таким образом, указанная сумма задолженности по заработной плате уменьшилась относительно аналогичных данных 2021 года на       6 083 тыс. рублей.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ru-RU" w:eastAsia="ru-RU" w:bidi="ar-SA"/>
        </w:rPr>
        <w:tab/>
        <w:t>Во исполнение пунктов 4-5 Плана мероприятий по</w:t>
      </w:r>
      <w:r>
        <w:rPr>
          <w:sz w:val="28"/>
          <w:szCs w:val="28"/>
          <w:lang w:val="ru-RU" w:eastAsia="ru-RU" w:bidi="ar-SA"/>
        </w:rPr>
        <w:t xml:space="preserve"> снижению уровня теневой занятости и легализации трудовых отношений на 2022-2024 годы, утвержденного 03.12.2021 на заседании Межведомственной рабочей группы по восстановлению рынка труда (пункт 2 раздела I протокола от 03.12.2021 № 16), в Камчатском крае утверждён Координационным комитетом и реализуется План мероприятий, направленных на снижение уровня теневой занятости и легализации трудовых отношений в Камчатском крае на 2022-2024 годы 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данным мониторинга контрольный показатель, установленный протоколом заседания Координационного комитета по обеспечению своевременной выплаты заработной платы и легализации трудовых отношений на территории Камчатского края на 2022 год, выполнен на 134,5%.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  <w:t>Основным инструментом в сфере охраны труда в рамках полномочий Министерства труда и развития кадрового потенциала Камчатского края является подпрограмма 5 «Безопасный труд в Камчатском крае» государственной программы «Содействие занятости населения Камчатского края», утвержденной постановлением Правительства Камчатского края от 11.11.2013 № 490-П (далее — Программа).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 w:eastAsia="ru-RU" w:bidi="ar-SA"/>
        </w:rPr>
        <w:tab/>
        <w:t>В 2022 году Подпрограммой 5 предусмотрено финансирование в сумме 2  120 000 рублей за счет средств краевого бюджета.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ab/>
        <w:t>В целях координации деятельности организаций Камчатского края в области охраны труда, обеспечения взаимодействия исполнительных органов государственной власти Камчатского края с федеральными органами исполнительной власти и их территориальными органами по Камчатскому края, органами местного самоуправления муниципальных образований в Камчатском крае, общественными организациями, работодателями, объединениями работодателей, а также профессиональными союзами и их объединениями по вопросам охраны труда в Камчатском крае, постановлением Правительства Камчатского края от 22.01.2021 № 20-П образована Межведомственной комиссии по охране труда Камчатского края. К числу её полномочий относятся: разработка предложений по реализации государственной политики в области охраны труда на территории Камчатского края; определение приоритетных направлений работы в области охраны труда; содействие в разработке и реализации государственных программ Камчатского края, содержащих мероприятия по улучшению условий и охраны труда.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ab/>
        <w:t>Кроме того, межведомственное взаимодействие в области охраны труда осуществляется в рамках работы Краевой трёхсторонней комиссией по урегулированию социально-трудовых отношений Камчатского края.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 соблюдения трудового законодательства и непосредственно охраны труда являются предметом многих положений краевого трёхстороннего Соглашения между Правительством Камчатского края, Федерацией профсоюзов Камчатки и объединениями работодателей Камчатского края на 2020-2022 год, выполнение которого на регулярной основе рассматривалось и координировалось краевой трехсторонней Комиссии по регулированию социально-трудовых отношений в Камчатском крае.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о</w:t>
      </w:r>
      <w:r>
        <w:rPr>
          <w:rFonts w:eastAsia="Calibri" w:cs="Times New Roman"/>
          <w:kern w:val="0"/>
          <w:sz w:val="28"/>
          <w:szCs w:val="28"/>
          <w:shd w:fill="auto" w:val="clear"/>
          <w:lang w:val="ru-RU" w:eastAsia="en-US" w:bidi="ar-SA"/>
        </w:rPr>
        <w:t>бщая численность пострадавших при несчастных случаях на производстве (с легкими и тяжелыми последствиями) в организациях Камчатского края в сравнении с данными 2021 года снизилась со 145 до 132 человек.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ab/>
        <w:t>В</w:t>
      </w:r>
      <w:r>
        <w:rPr>
          <w:rFonts w:eastAsia="Calibri" w:cs="Times New Roman"/>
          <w:kern w:val="0"/>
          <w:sz w:val="28"/>
          <w:szCs w:val="28"/>
          <w:shd w:fill="auto" w:val="clear"/>
          <w:lang w:val="ru-RU" w:eastAsia="en-US" w:bidi="ar-SA"/>
        </w:rPr>
        <w:t xml:space="preserve"> 2022 году признаны погибшими в результате несчастных случаев на производстве 5 работников, что в 4 раза меньше количества погибших работников в 2021 году.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shd w:fill="auto" w:val="clear"/>
          <w:lang w:val="ru-RU" w:eastAsia="en-US" w:bidi="ar-SA"/>
        </w:rPr>
        <w:tab/>
        <w:t>Таким образом результаты проведенной работы в сфере охраны труда позволили снизить значения показателей общего и смертельного производственного травматизма в организациях региона.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/>
        <w:suppressAutoHyphens w:val="true"/>
        <w:bidi w:val="0"/>
        <w:spacing w:before="0" w:after="0"/>
        <w:ind w:left="397" w:righ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6" w:right="570" w:gutter="0" w:header="0" w:top="1136" w:footer="0" w:bottom="1136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1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link w:val="BodyText2"/>
    <w:qFormat/>
    <w:rsid w:val="004838b2"/>
    <w:rPr>
      <w:rFonts w:ascii="Times New Roman" w:hAnsi="Times New Roman" w:eastAsia="Times New Roman"/>
      <w:sz w:val="24"/>
    </w:rPr>
  </w:style>
  <w:style w:type="character" w:styleId="Style14" w:customStyle="1">
    <w:name w:val="Текст выноски Знак"/>
    <w:link w:val="BalloonText"/>
    <w:uiPriority w:val="99"/>
    <w:semiHidden/>
    <w:qFormat/>
    <w:rsid w:val="00d1023f"/>
    <w:rPr>
      <w:rFonts w:ascii="Segoe UI" w:hAnsi="Segoe UI" w:eastAsia="Times New Roman" w:cs="Segoe UI"/>
      <w:sz w:val="18"/>
      <w:szCs w:val="18"/>
    </w:rPr>
  </w:style>
  <w:style w:type="character" w:styleId="Style15" w:customStyle="1">
    <w:name w:val="Основной текст Знак"/>
    <w:uiPriority w:val="99"/>
    <w:qFormat/>
    <w:rsid w:val="009b14b6"/>
    <w:rPr>
      <w:rFonts w:ascii="Times New Roman" w:hAnsi="Times New Roman" w:eastAsia="Times New Roman"/>
    </w:rPr>
  </w:style>
  <w:style w:type="character" w:styleId="Style16" w:customStyle="1">
    <w:name w:val="Колонтитул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7" w:customStyle="1">
    <w:name w:val="Колонтитул"/>
    <w:basedOn w:val="Style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2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81130a"/>
    <w:rPr>
      <w:rFonts w:ascii="Times New Roman" w:hAnsi="Times New Roman" w:eastAsia="Times New Roman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81130a"/>
    <w:rPr>
      <w:rFonts w:ascii="Times New Roman" w:hAnsi="Times New Roman" w:eastAsia="Times New Roman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link w:val="Style15"/>
    <w:uiPriority w:val="99"/>
    <w:unhideWhenUsed/>
    <w:rsid w:val="009b14b6"/>
    <w:pPr>
      <w:spacing w:before="0" w:after="12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83d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"/>
    <w:qFormat/>
    <w:rsid w:val="004838b2"/>
    <w:pPr/>
    <w:rPr>
      <w:sz w:val="24"/>
    </w:rPr>
  </w:style>
  <w:style w:type="paragraph" w:styleId="Style25" w:customStyle="1">
    <w:name w:val="Знак Знак"/>
    <w:basedOn w:val="Normal"/>
    <w:qFormat/>
    <w:rsid w:val="004838b2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1023f"/>
    <w:pPr/>
    <w:rPr>
      <w:rFonts w:ascii="Segoe UI" w:hAnsi="Segoe UI" w:cs="Segoe UI"/>
      <w:sz w:val="18"/>
      <w:szCs w:val="18"/>
    </w:rPr>
  </w:style>
  <w:style w:type="paragraph" w:styleId="Style26" w:customStyle="1">
    <w:name w:val="Знак Знак Знак Знак"/>
    <w:basedOn w:val="Normal"/>
    <w:qFormat/>
    <w:rsid w:val="008f6968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7" w:customStyle="1">
    <w:name w:val="Колонтитул"/>
    <w:basedOn w:val="Normal"/>
    <w:qFormat/>
    <w:pPr>
      <w:suppressLineNumbers/>
      <w:tabs>
        <w:tab w:val="clear" w:pos="708"/>
        <w:tab w:val="center" w:pos="7699" w:leader="none"/>
        <w:tab w:val="right" w:pos="15398" w:leader="none"/>
      </w:tabs>
    </w:pPr>
    <w:rPr/>
  </w:style>
  <w:style w:type="paragraph" w:styleId="Style28">
    <w:name w:val="Header"/>
    <w:basedOn w:val="Style27"/>
    <w:link w:val="Style19"/>
    <w:uiPriority w:val="99"/>
    <w:pPr/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23" w:customStyle="1">
    <w:name w:val="Основной текст (2)"/>
    <w:basedOn w:val="Normal"/>
    <w:qFormat/>
    <w:pPr>
      <w:shd w:val="clear" w:color="auto" w:fill="FFFFFF"/>
      <w:spacing w:lineRule="exact" w:line="274" w:before="360" w:after="0"/>
      <w:jc w:val="both"/>
    </w:pPr>
    <w:rPr/>
  </w:style>
  <w:style w:type="paragraph" w:styleId="ListParagraph">
    <w:name w:val="List Paragraph"/>
    <w:basedOn w:val="Normal"/>
    <w:uiPriority w:val="34"/>
    <w:qFormat/>
    <w:rsid w:val="002d2a38"/>
    <w:pPr>
      <w:spacing w:before="0" w:after="0"/>
      <w:ind w:left="720" w:hanging="0"/>
      <w:contextualSpacing/>
    </w:pPr>
    <w:rPr/>
  </w:style>
  <w:style w:type="paragraph" w:styleId="Style31">
    <w:name w:val="Footer"/>
    <w:basedOn w:val="Normal"/>
    <w:link w:val="Style18"/>
    <w:uiPriority w:val="99"/>
    <w:unhideWhenUsed/>
    <w:rsid w:val="0081130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8a71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4CB6-2A89-4CA8-B319-0001E13F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Application>LibreOffice/7.4.4.2$Linux_X86_64 LibreOffice_project/40$Build-2</Application>
  <AppVersion>15.0000</AppVersion>
  <Pages>3</Pages>
  <Words>945</Words>
  <Characters>6754</Characters>
  <CharactersWithSpaces>8196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2023-04-03T02:03:00Z</dcterms:created>
  <dc:creator>Старова Ольга Михайловна</dc:creator>
  <dc:description/>
  <dc:language>ru-RU</dc:language>
  <cp:lastModifiedBy/>
  <cp:lastPrinted>2023-05-23T15:43:10Z</cp:lastPrinted>
  <dcterms:modified xsi:type="dcterms:W3CDTF">2023-12-26T14:43:12Z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