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ТРУДА И РАЗВИТИЯ КАДРОВОГО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12.09.2022 № 342 «</w:t>
            </w: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Порядка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уведомления представителя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нанимателя о </w:t>
            </w:r>
            <w:r>
              <w:rPr>
                <w:rFonts w:ascii="Times New Roman" w:hAnsi="Times New Roman"/>
                <w:b w:val="1"/>
                <w:sz w:val="28"/>
              </w:rPr>
              <w:t>фактах обращения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целях склонения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государственного гражданского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служащего Министерства труда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развития кадрового потенциала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края, в отношении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которого полномочия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представителя нанимателя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осуществляет Министр труда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развития кадрового </w:t>
            </w:r>
            <w:r>
              <w:rPr>
                <w:rFonts w:ascii="Times New Roman" w:hAnsi="Times New Roman"/>
                <w:b w:val="1"/>
                <w:sz w:val="28"/>
              </w:rPr>
              <w:t>потенциала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края, к совершению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коррупционных правонарушений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Губернатора Камчатского края от 02.11.2023 № 43 «</w:t>
      </w:r>
      <w:r>
        <w:rPr>
          <w:rFonts w:ascii="Times New Roman" w:hAnsi="Times New Roman"/>
          <w:sz w:val="28"/>
        </w:rPr>
        <w:t>О внесении изменений в приложение к постановлению Губернатора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от 08.05.2009 № 128 «Об утверждении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представителя нанимателя о фактах обращения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склонения государственного гражданского служащего Камчатского края,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которого полномочия представителя нанимателя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Губернатор Камчатского края или 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Губернатора Камчатского края, к совершению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коррупционных правонарушений»</w:t>
      </w:r>
      <w:r>
        <w:rPr>
          <w:rFonts w:ascii="Times New Roman" w:hAnsi="Times New Roman"/>
          <w:sz w:val="28"/>
        </w:rPr>
        <w:t xml:space="preserve">, а также в целях </w:t>
      </w:r>
      <w:r>
        <w:rPr>
          <w:rFonts w:ascii="Times New Roman" w:hAnsi="Times New Roman"/>
          <w:sz w:val="28"/>
        </w:rPr>
        <w:t xml:space="preserve">уточнения отдельных </w:t>
      </w:r>
      <w:r>
        <w:rPr>
          <w:rFonts w:ascii="Times New Roman" w:hAnsi="Times New Roman"/>
          <w:sz w:val="28"/>
        </w:rPr>
        <w:t>положений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труда и развития кадрового потенциала Камчатского края </w:t>
      </w:r>
      <w:r>
        <w:rPr>
          <w:rFonts w:ascii="Times New Roman" w:hAnsi="Times New Roman"/>
          <w:sz w:val="28"/>
        </w:rPr>
        <w:t xml:space="preserve">от 12.09.2022 № 342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</w:t>
      </w:r>
      <w:r>
        <w:rPr>
          <w:rFonts w:ascii="Times New Roman" w:hAnsi="Times New Roman"/>
          <w:sz w:val="28"/>
        </w:rPr>
        <w:t>потенциала Камчатского края, к совершению коррупционных правонарушений»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абзац</w:t>
      </w:r>
      <w:r>
        <w:rPr>
          <w:rFonts w:ascii="Times New Roman" w:hAnsi="Times New Roman"/>
          <w:sz w:val="28"/>
        </w:rPr>
        <w:t>е первом</w:t>
      </w:r>
      <w:r>
        <w:rPr>
          <w:rFonts w:ascii="Times New Roman" w:hAnsi="Times New Roman"/>
          <w:sz w:val="28"/>
        </w:rPr>
        <w:t xml:space="preserve"> части 2 </w:t>
      </w:r>
      <w:r>
        <w:rPr>
          <w:rFonts w:ascii="Times New Roman" w:hAnsi="Times New Roman"/>
          <w:sz w:val="28"/>
        </w:rPr>
        <w:t>слова «Бахтину Ирину Олеговну, ведущего консультанта» заменить словами «</w:t>
      </w:r>
      <w:r>
        <w:rPr>
          <w:rFonts w:ascii="Times New Roman" w:hAnsi="Times New Roman"/>
          <w:sz w:val="28"/>
        </w:rPr>
        <w:t>Бесединой</w:t>
      </w:r>
      <w:r>
        <w:rPr>
          <w:rFonts w:ascii="Times New Roman" w:hAnsi="Times New Roman"/>
          <w:sz w:val="28"/>
        </w:rPr>
        <w:t xml:space="preserve"> Ирине Олеговне, ведущему консультанту».</w:t>
      </w:r>
    </w:p>
    <w:p w14:paraId="1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</w:t>
      </w:r>
      <w:r>
        <w:rPr>
          <w:rFonts w:ascii="Times New Roman" w:hAnsi="Times New Roman"/>
          <w:sz w:val="28"/>
        </w:rPr>
        <w:t>:</w:t>
      </w:r>
    </w:p>
    <w:p w14:paraId="1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часть 4 изложить в следующей редакции:</w:t>
      </w:r>
    </w:p>
    <w:p w14:paraId="1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Гражданский служащий может уведомить органы прокуратуры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 государствен</w:t>
      </w:r>
      <w:bookmarkStart w:id="2" w:name="_GoBack"/>
      <w:bookmarkEnd w:id="2"/>
      <w:r>
        <w:rPr>
          <w:rFonts w:ascii="Times New Roman" w:hAnsi="Times New Roman"/>
          <w:sz w:val="28"/>
        </w:rPr>
        <w:t>ные органы о фактах обращения в целях склонения его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совершению коррупционных правонарушений, о чем гражданский служащий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 письменно сообщить представителю нанимателя любым доступным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способом, позволяющим подтвердить факт его уведомления, не позднее 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дня, следующего за днем уведомления указанных органов 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письменное сообщение).</w:t>
      </w:r>
    </w:p>
    <w:p w14:paraId="1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письменном сообщении указываются обстоятельства склонения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гражданского служащего к совершению коррупционных правонарушений.</w:t>
      </w:r>
    </w:p>
    <w:p w14:paraId="1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сообщение подлежит регистрации в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предусмотренном частью 13 настоящего Порядка. Проверка представителем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нанимателя по такому сообщению</w:t>
      </w:r>
      <w:r>
        <w:rPr>
          <w:rFonts w:ascii="Times New Roman" w:hAnsi="Times New Roman"/>
          <w:sz w:val="28"/>
        </w:rPr>
        <w:t xml:space="preserve"> не проводится.»;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в части 10 слова «либо представления заведомо недостоверных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неполных сведений» заменить словами «, представления заведомо неполных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сведений, за исключением случаев, установленных федеральными законами,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представления заведомо недостоверных сведений»;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в абзаце первом части 13 слова «приложению 1» заменить словом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«приложению»;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 угловом реквизите приложения 1 слова «Приложение 1» заменить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словом «Приложение».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Ниценко</w:t>
            </w:r>
          </w:p>
        </w:tc>
      </w:tr>
    </w:tbl>
    <w:p w14:paraId="29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5_ch"/>
    <w:link w:val="Style_13"/>
    <w:rPr>
      <w:rFonts w:ascii="Times New Roman" w:hAnsi="Times New Roman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2023-11-08T00:48:42Z</dcterms:modified>
</cp:coreProperties>
</file>