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МИНИСТЕРСТВО ТРУДА И РАЗВИТИЯ КАДРОВОГО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ПОТЕНЦИАЛА КАМЧАТСКОГО КРАЯ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sz w:val="24"/>
        </w:rPr>
      </w:pPr>
    </w:p>
    <w:p w14:paraId="0C000000">
      <w:pPr>
        <w:spacing w:after="0"/>
        <w:ind/>
        <w:jc w:val="both"/>
        <w:rPr>
          <w:rFonts w:ascii="Times New Roman" w:hAnsi="Times New Roman"/>
          <w:sz w:val="20"/>
        </w:rPr>
      </w:pPr>
    </w:p>
    <w:tbl>
      <w:tblPr>
        <w:tblStyle w:val="Style_2"/>
        <w:tblInd w:type="dxa" w:w="-142"/>
        <w:tblLayout w:type="fixed"/>
      </w:tblPr>
      <w:tblGrid>
        <w:gridCol w:w="1985"/>
        <w:gridCol w:w="425"/>
        <w:gridCol w:w="1985"/>
      </w:tblGrid>
      <w:tr>
        <w:tc>
          <w:tcPr>
            <w:tcW w:type="dxa" w:w="1985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D000000">
            <w:pPr>
              <w:spacing w:after="0"/>
              <w:ind w:right="34"/>
              <w:jc w:val="center"/>
              <w:rPr>
                <w:rFonts w:ascii="Times New Roman" w:hAnsi="Times New Roman"/>
                <w:sz w:val="20"/>
              </w:rPr>
            </w:pPr>
            <w:bookmarkStart w:id="1" w:name="REGDATESTAMP"/>
            <w:r>
              <w:rPr>
                <w:rFonts w:ascii="Times New Roman" w:hAnsi="Times New Roman"/>
                <w:sz w:val="28"/>
              </w:rPr>
              <w:t>[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18"/>
              </w:rPr>
              <w:t>ата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регистрации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1"/>
          </w:p>
        </w:tc>
        <w:tc>
          <w:tcPr>
            <w:tcW w:type="dxa" w:w="425"/>
          </w:tcPr>
          <w:p w14:paraId="0E000000">
            <w:pPr>
              <w:spacing w:after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985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F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bookmarkStart w:id="2" w:name="REGNUMSTAMP"/>
            <w:r>
              <w:rPr>
                <w:rFonts w:ascii="Times New Roman" w:hAnsi="Times New Roman"/>
                <w:sz w:val="28"/>
              </w:rPr>
              <w:t>[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18"/>
              </w:rPr>
              <w:t>омер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документа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2"/>
          </w:p>
        </w:tc>
      </w:tr>
    </w:tbl>
    <w:p w14:paraId="10000000">
      <w:pPr>
        <w:spacing w:after="0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14:paraId="1100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4936"/>
      </w:tblGrid>
      <w:tr>
        <w:trPr>
          <w:trHeight w:hRule="exact" w:val="1430"/>
        </w:trPr>
        <w:tc>
          <w:tcPr>
            <w:tcW w:type="dxa" w:w="4936"/>
            <w:shd w:fill="auto" w:val="clear"/>
          </w:tcPr>
          <w:p w14:paraId="1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 утверждении Программы профилактики </w:t>
            </w:r>
            <w:r>
              <w:rPr>
                <w:rFonts w:ascii="Times New Roman" w:hAnsi="Times New Roman"/>
                <w:sz w:val="28"/>
              </w:rPr>
              <w:t>рисков причинения вреда (ущерба) охраняемым законом ценностям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на </w:t>
            </w: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 </w:t>
            </w:r>
          </w:p>
        </w:tc>
      </w:tr>
    </w:tbl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31.07.2020 № 248-ФЗ                                                </w:t>
      </w:r>
      <w:r>
        <w:rPr>
          <w:rFonts w:ascii="Times New Roman" w:hAnsi="Times New Roman"/>
          <w:sz w:val="28"/>
        </w:rPr>
        <w:t xml:space="preserve">   «</w:t>
      </w:r>
      <w:r>
        <w:rPr>
          <w:rFonts w:ascii="Times New Roman" w:hAnsi="Times New Roman"/>
          <w:sz w:val="28"/>
        </w:rPr>
        <w:t>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</w:p>
    <w:p w14:paraId="15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7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Утвердить Программу </w:t>
      </w:r>
      <w:r>
        <w:rPr>
          <w:rFonts w:ascii="Times New Roman" w:hAnsi="Times New Roman"/>
          <w:sz w:val="28"/>
        </w:rPr>
        <w:t xml:space="preserve">профилактики </w:t>
      </w:r>
      <w:r>
        <w:rPr>
          <w:rFonts w:ascii="Times New Roman" w:hAnsi="Times New Roman"/>
          <w:sz w:val="28"/>
        </w:rPr>
        <w:t xml:space="preserve">рисков причинения вреда (ущерба) охраняемым законом ценностям на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согласно приложению.</w:t>
      </w:r>
    </w:p>
    <w:p w14:paraId="19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Настоящий приказ вступает в силу с 01.01.202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</w:p>
    <w:p w14:paraId="1A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Признать утратившим силу</w:t>
      </w:r>
      <w:r>
        <w:rPr>
          <w:rFonts w:ascii="Times New Roman" w:hAnsi="Times New Roman"/>
          <w:sz w:val="28"/>
        </w:rPr>
        <w:t xml:space="preserve"> с 01.01.202</w:t>
      </w:r>
      <w:r>
        <w:rPr>
          <w:rFonts w:ascii="Times New Roman" w:hAnsi="Times New Roman"/>
          <w:sz w:val="28"/>
        </w:rPr>
        <w:t xml:space="preserve">4 </w:t>
      </w:r>
      <w:r>
        <w:rPr>
          <w:rFonts w:ascii="Times New Roman" w:hAnsi="Times New Roman"/>
          <w:sz w:val="28"/>
        </w:rPr>
        <w:t xml:space="preserve">приказ Министерства труда и развития кадрового потенциала Камчатского края от </w:t>
      </w:r>
      <w:r>
        <w:rPr>
          <w:rFonts w:ascii="Times New Roman" w:hAnsi="Times New Roman"/>
          <w:sz w:val="28"/>
        </w:rPr>
        <w:t>19.12.202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№ 448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Программы профилактики рисков причинения вреда (ущерба) охраняемым законом ценностям на 2023 год</w:t>
      </w:r>
      <w:r>
        <w:rPr>
          <w:rFonts w:ascii="Times New Roman" w:hAnsi="Times New Roman"/>
          <w:sz w:val="28"/>
        </w:rPr>
        <w:t>»/</w:t>
      </w:r>
    </w:p>
    <w:p w14:paraId="1B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Контроль за исполнением настоящего приказа возложить на </w:t>
      </w:r>
      <w:r>
        <w:rPr>
          <w:rFonts w:ascii="Times New Roman" w:hAnsi="Times New Roman"/>
          <w:sz w:val="28"/>
        </w:rPr>
        <w:t xml:space="preserve">                 Корнейчук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., начальника отдела </w:t>
      </w:r>
      <w:r>
        <w:rPr>
          <w:rFonts w:ascii="Times New Roman" w:hAnsi="Times New Roman"/>
          <w:sz w:val="28"/>
        </w:rPr>
        <w:t>организационно-правового обеспечения и контроля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труда и развития кадрового потенциала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>.</w:t>
      </w:r>
    </w:p>
    <w:p w14:paraId="1C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D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Ind w:type="dxa" w:w="-142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403"/>
        <w:gridCol w:w="3260"/>
        <w:gridCol w:w="3544"/>
      </w:tblGrid>
      <w:tr>
        <w:tc>
          <w:tcPr>
            <w:tcW w:type="dxa" w:w="340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E000000">
            <w:pPr>
              <w:spacing w:line="216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type="dxa" w:w="326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F000000">
            <w:pPr>
              <w:spacing w:line="216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D9D9D9"/>
                <w:sz w:val="28"/>
              </w:rPr>
              <w:t>[горизонтальный штамп подписи 1]</w:t>
            </w:r>
          </w:p>
        </w:tc>
        <w:tc>
          <w:tcPr>
            <w:tcW w:type="dxa" w:w="354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0000000">
            <w:pPr>
              <w:spacing w:line="216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Н.Б. Ниценко</w:t>
            </w:r>
          </w:p>
        </w:tc>
      </w:tr>
    </w:tbl>
    <w:p w14:paraId="21000000">
      <w:pPr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 w:firstLine="0" w:left="595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23000000">
      <w:pPr>
        <w:spacing w:after="0" w:line="240" w:lineRule="auto"/>
        <w:ind w:firstLine="0" w:left="595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приказу Министерства труда и развития кадрового потенциала Камчатского края</w:t>
      </w:r>
    </w:p>
    <w:p w14:paraId="24000000">
      <w:pPr>
        <w:spacing w:after="0" w:line="240" w:lineRule="auto"/>
        <w:ind w:firstLine="0" w:left="595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color w:themeColor="background2" w:val="EEECE1"/>
          <w:sz w:val="28"/>
        </w:rPr>
        <w:t>Дата регистрации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color w:themeColor="background2" w:val="EEECE1"/>
          <w:sz w:val="28"/>
        </w:rPr>
        <w:t>Номер документа</w:t>
      </w:r>
    </w:p>
    <w:p w14:paraId="2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6000000">
      <w:pPr>
        <w:spacing w:after="0" w:before="6" w:line="252" w:lineRule="auto"/>
        <w:ind w:firstLine="9" w:left="293" w:right="185"/>
        <w:jc w:val="center"/>
        <w:rPr>
          <w:rFonts w:ascii="Times New Roman" w:hAnsi="Times New Roman"/>
          <w:color w:val="1F1D26"/>
          <w:sz w:val="28"/>
        </w:rPr>
      </w:pPr>
      <w:r>
        <w:rPr>
          <w:rFonts w:ascii="Times New Roman" w:hAnsi="Times New Roman"/>
          <w:color w:val="1F1D26"/>
          <w:sz w:val="28"/>
        </w:rPr>
        <w:t>Программа</w:t>
      </w:r>
      <w:r>
        <w:rPr>
          <w:rFonts w:ascii="Times New Roman" w:hAnsi="Times New Roman"/>
          <w:color w:val="1F1D26"/>
          <w:sz w:val="28"/>
        </w:rPr>
        <w:t xml:space="preserve"> </w:t>
      </w:r>
    </w:p>
    <w:p w14:paraId="27000000">
      <w:pPr>
        <w:spacing w:after="0" w:before="6" w:line="252" w:lineRule="auto"/>
        <w:ind w:firstLine="9" w:left="293" w:right="185"/>
        <w:jc w:val="center"/>
        <w:rPr>
          <w:rFonts w:ascii="Calibri" w:hAnsi="Calibri"/>
          <w:sz w:val="27"/>
        </w:rPr>
      </w:pPr>
      <w:r>
        <w:rPr>
          <w:rFonts w:ascii="Times New Roman" w:hAnsi="Times New Roman"/>
          <w:color w:val="1F1D26"/>
          <w:sz w:val="28"/>
        </w:rPr>
        <w:t>профилактики рисков причинения вреда (ущерба) охраняемым законом ценностям на 202</w:t>
      </w:r>
      <w:r>
        <w:rPr>
          <w:rFonts w:ascii="Times New Roman" w:hAnsi="Times New Roman"/>
          <w:color w:val="1F1D26"/>
          <w:sz w:val="28"/>
        </w:rPr>
        <w:t>4</w:t>
      </w:r>
      <w:r>
        <w:rPr>
          <w:rFonts w:ascii="Times New Roman" w:hAnsi="Times New Roman"/>
          <w:color w:val="1F1D26"/>
          <w:sz w:val="28"/>
        </w:rPr>
        <w:t xml:space="preserve"> год</w:t>
      </w:r>
    </w:p>
    <w:p w14:paraId="2800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2900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ПАСПОРТ ПРОГРАММЫ </w:t>
      </w:r>
    </w:p>
    <w:p w14:paraId="2A000000">
      <w:pPr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376"/>
        <w:gridCol w:w="7480"/>
      </w:tblGrid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Программа профилактики рисков причинения вреда (ущерба) охраняемым законом ценностям в сфере регионального государственного контроля (надзора) за приемом на работу инвалидов в пределах установленной квоты на 2024 </w:t>
            </w:r>
            <w:r>
              <w:rPr>
                <w:rFonts w:ascii="Times New Roman" w:hAnsi="Times New Roman"/>
                <w:color w:val="000000"/>
                <w:sz w:val="22"/>
              </w:rPr>
              <w:t>год (далее – программа профилактики)</w:t>
            </w:r>
          </w:p>
          <w:p w14:paraId="2D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основания разработки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widowControl w:val="1"/>
              <w:spacing w:after="0"/>
              <w:ind w:hanging="14" w:left="14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Федеральный закон от 31 июля 2020 года № 248-ФЗ «О государственном контроле (надзоре) и муниципальном контроле в Российской Федерации» (далее – Федеральный закон № 248-ФЗ);</w:t>
            </w:r>
          </w:p>
          <w:p w14:paraId="30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постановление Правительства Российской Федерации от 25 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  <w:p w14:paraId="31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Разработчик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труда и развития кадрового потенциала Камчатского края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Цели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 повышение эффективности осуществления контрольно-надзорной деятельности</w:t>
            </w:r>
            <w:r>
              <w:rPr>
                <w:rFonts w:ascii="Times New Roman" w:hAnsi="Times New Roman"/>
                <w:color w:val="000000"/>
                <w:sz w:val="22"/>
              </w:rPr>
              <w:t>;</w:t>
            </w:r>
          </w:p>
          <w:p w14:paraId="36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стимулирование добросовестного соблюдения</w:t>
            </w:r>
            <w:r>
              <w:rPr>
                <w:rFonts w:ascii="Times New Roman" w:hAnsi="Times New Roman"/>
                <w:sz w:val="22"/>
              </w:rPr>
              <w:t xml:space="preserve"> обязательных требований в области квотирования рабочих мест, </w:t>
            </w:r>
            <w:r>
              <w:rPr>
                <w:rFonts w:ascii="Times New Roman" w:hAnsi="Times New Roman"/>
                <w:sz w:val="22"/>
              </w:rPr>
              <w:t xml:space="preserve">нормативными правовыми актами </w:t>
            </w:r>
            <w:r>
              <w:rPr>
                <w:rFonts w:ascii="Times New Roman" w:hAnsi="Times New Roman"/>
                <w:sz w:val="22"/>
              </w:rPr>
              <w:t>Камчатского края</w:t>
            </w:r>
            <w:r>
              <w:rPr>
                <w:rFonts w:ascii="Times New Roman" w:hAnsi="Times New Roman"/>
                <w:sz w:val="22"/>
              </w:rPr>
              <w:t xml:space="preserve"> (далее – обязательные требования), </w:t>
            </w:r>
            <w:r>
              <w:rPr>
                <w:rFonts w:ascii="Times New Roman" w:hAnsi="Times New Roman"/>
                <w:color w:val="000000"/>
                <w:sz w:val="22"/>
              </w:rPr>
              <w:t>всеми контролируемыми лицами;</w:t>
            </w:r>
          </w:p>
          <w:p w14:paraId="37000000">
            <w:pPr>
              <w:widowControl w:val="1"/>
              <w:tabs>
                <w:tab w:leader="none" w:pos="334" w:val="left"/>
              </w:tabs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 создание условий для доведения обязательных требований до контролируемых лиц, повышение информированности о способах их соблюдения;</w:t>
            </w:r>
          </w:p>
          <w:p w14:paraId="38000000">
            <w:pPr>
              <w:widowControl w:val="1"/>
              <w:tabs>
                <w:tab w:leader="none" w:pos="334" w:val="left"/>
              </w:tabs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выполнение контролируемыми лицами установленной квоты для приема на работу инвалидов в полном объеме;</w:t>
            </w:r>
          </w:p>
          <w:p w14:paraId="39000000">
            <w:pPr>
              <w:widowControl w:val="1"/>
              <w:tabs>
                <w:tab w:leader="none" w:pos="334" w:val="left"/>
              </w:tabs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 снижение административной нагрузки на работодателей;</w:t>
            </w:r>
          </w:p>
          <w:p w14:paraId="3A000000">
            <w:pPr>
              <w:widowControl w:val="1"/>
              <w:tabs>
                <w:tab w:leader="none" w:pos="334" w:val="left"/>
              </w:tabs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снижение напряженности на региональном рынке труда среди граждан, имеющих инвалидность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и </w:t>
            </w:r>
            <w:r>
              <w:rPr>
                <w:rFonts w:ascii="Times New Roman" w:hAnsi="Times New Roman"/>
                <w:sz w:val="22"/>
              </w:rPr>
              <w:t>повышение занятости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граждан, имеющих инвалидность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установление и оценка зависимости видов, форм и интенсивности профилактических мероприятий от особенностей объектов контроля, проведение профилактических мероприятий с учетом данных факторов;</w:t>
            </w:r>
          </w:p>
          <w:p w14:paraId="3D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- повышение квалификации должностных лиц </w:t>
            </w:r>
            <w:r>
              <w:rPr>
                <w:rFonts w:ascii="Times New Roman" w:hAnsi="Times New Roman"/>
                <w:color w:val="000000"/>
                <w:sz w:val="22"/>
              </w:rPr>
              <w:t>органов исполнительной власти</w:t>
            </w:r>
            <w:r>
              <w:rPr>
                <w:rFonts w:ascii="Times New Roman" w:hAnsi="Times New Roman"/>
                <w:color w:val="000000"/>
                <w:sz w:val="22"/>
              </w:rPr>
              <w:t>, осуществляющих региональный государственный контроль (надзор) за приемом на работу инвалидов в пределах установленной квоты (</w:t>
            </w:r>
            <w:r>
              <w:rPr>
                <w:rFonts w:ascii="Times New Roman" w:hAnsi="Times New Roman"/>
                <w:color w:val="000000"/>
                <w:sz w:val="22"/>
              </w:rPr>
              <w:t>далее –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государственный контроль (надзор);</w:t>
            </w:r>
          </w:p>
          <w:p w14:paraId="3E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использование современных информационно-телекоммуникационных технологий при проведении профилактических мероприятий;</w:t>
            </w:r>
          </w:p>
          <w:p w14:paraId="3F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осуществление планирования проведения профилактических мероприятий на основе принципов их понятности, информационной открытости, полноты охвата ими максимального количества контролируемых лиц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Сроки реализации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01.01.2024 - 31.12.2024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финансирования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Краевой бюджет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Ожидаемые конечные результаты реализации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widowControl w:val="1"/>
              <w:tabs>
                <w:tab w:leader="none" w:pos="346" w:val="left"/>
              </w:tabs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снижение рисков причинения вреда охраняемым законом ценностям;</w:t>
            </w:r>
          </w:p>
          <w:p w14:paraId="46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увеличение доли законопослушных контролируемых лиц;</w:t>
            </w:r>
          </w:p>
          <w:p w14:paraId="47000000">
            <w:pPr>
              <w:widowControl w:val="1"/>
              <w:tabs>
                <w:tab w:leader="none" w:pos="259" w:val="left"/>
              </w:tabs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- обеспечение квалифицированной профилактической работы должностных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лиц </w:t>
            </w:r>
            <w:r>
              <w:rPr>
                <w:rFonts w:ascii="Times New Roman" w:hAnsi="Times New Roman"/>
                <w:color w:val="000000"/>
                <w:sz w:val="22"/>
              </w:rPr>
              <w:t>государственн</w:t>
            </w:r>
            <w:r>
              <w:rPr>
                <w:rFonts w:ascii="Times New Roman" w:hAnsi="Times New Roman"/>
                <w:color w:val="000000"/>
                <w:sz w:val="22"/>
              </w:rPr>
              <w:t>ого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контрол</w:t>
            </w:r>
            <w:r>
              <w:rPr>
                <w:rFonts w:ascii="Times New Roman" w:hAnsi="Times New Roman"/>
                <w:color w:val="000000"/>
                <w:sz w:val="22"/>
              </w:rPr>
              <w:t>я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(надзор</w:t>
            </w:r>
            <w:r>
              <w:rPr>
                <w:rFonts w:ascii="Times New Roman" w:hAnsi="Times New Roman"/>
                <w:color w:val="000000"/>
                <w:sz w:val="22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</w:rPr>
              <w:t>)</w:t>
            </w:r>
            <w:r>
              <w:rPr>
                <w:rFonts w:ascii="Times New Roman" w:hAnsi="Times New Roman"/>
                <w:color w:val="000000"/>
                <w:sz w:val="22"/>
              </w:rPr>
              <w:t>;</w:t>
            </w:r>
          </w:p>
          <w:p w14:paraId="48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- повышение прозрачности профилактической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деятельности </w:t>
            </w:r>
            <w:r>
              <w:rPr>
                <w:rFonts w:ascii="Times New Roman" w:hAnsi="Times New Roman"/>
                <w:color w:val="000000"/>
                <w:sz w:val="22"/>
              </w:rPr>
              <w:t>государственн</w:t>
            </w:r>
            <w:r>
              <w:rPr>
                <w:rFonts w:ascii="Times New Roman" w:hAnsi="Times New Roman"/>
                <w:color w:val="000000"/>
                <w:sz w:val="22"/>
              </w:rPr>
              <w:t>ого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контрол</w:t>
            </w:r>
            <w:r>
              <w:rPr>
                <w:rFonts w:ascii="Times New Roman" w:hAnsi="Times New Roman"/>
                <w:color w:val="000000"/>
                <w:sz w:val="22"/>
              </w:rPr>
              <w:t>я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(надзор</w:t>
            </w:r>
            <w:r>
              <w:rPr>
                <w:rFonts w:ascii="Times New Roman" w:hAnsi="Times New Roman"/>
                <w:color w:val="000000"/>
                <w:sz w:val="22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</w:rPr>
              <w:t>)</w:t>
            </w:r>
            <w:r>
              <w:rPr>
                <w:rFonts w:ascii="Times New Roman" w:hAnsi="Times New Roman"/>
                <w:color w:val="000000"/>
                <w:sz w:val="22"/>
              </w:rPr>
              <w:t>;</w:t>
            </w:r>
          </w:p>
          <w:p w14:paraId="49000000">
            <w:pPr>
              <w:widowControl w:val="1"/>
              <w:tabs>
                <w:tab w:leader="none" w:pos="266" w:val="left"/>
              </w:tabs>
              <w:spacing w:after="0"/>
              <w:ind w:firstLine="29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 уменьшение административной нагрузки на контролируемых лиц;</w:t>
            </w:r>
          </w:p>
          <w:p w14:paraId="4A000000">
            <w:pPr>
              <w:widowControl w:val="1"/>
              <w:tabs>
                <w:tab w:leader="none" w:pos="360" w:val="left"/>
              </w:tabs>
              <w:spacing w:after="0"/>
              <w:ind w:firstLine="36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 повышение уровня правовой грамотности контролируемых лиц;</w:t>
            </w:r>
          </w:p>
          <w:p w14:paraId="4B000000">
            <w:pPr>
              <w:widowControl w:val="1"/>
              <w:tabs>
                <w:tab w:leader="none" w:pos="360" w:val="left"/>
              </w:tabs>
              <w:spacing w:after="0"/>
              <w:ind w:firstLine="36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 </w:t>
            </w:r>
            <w:r>
              <w:rPr>
                <w:rFonts w:ascii="Times New Roman" w:hAnsi="Times New Roman"/>
                <w:color w:val="000000"/>
                <w:sz w:val="22"/>
              </w:rPr>
              <w:t>обеспечение единообразия понимания предмета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контроля контролируемыми лицами;</w:t>
            </w:r>
          </w:p>
          <w:p w14:paraId="4C000000">
            <w:pPr>
              <w:widowControl w:val="1"/>
              <w:tabs>
                <w:tab w:leader="none" w:pos="259" w:val="left"/>
              </w:tabs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 мотивация контролируемых лиц к добросовестному поведению;</w:t>
            </w:r>
          </w:p>
          <w:p w14:paraId="4D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выполнение контролируемыми лицами установленной квоты для приема на работу инвалидов в полном объеме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Раздел 1. Анализ текущего состояния осуществления регионального государственного контроля (надзора) за </w:t>
            </w:r>
            <w:r>
              <w:rPr>
                <w:rFonts w:ascii="Times New Roman" w:hAnsi="Times New Roman"/>
                <w:color w:val="000000"/>
                <w:sz w:val="22"/>
              </w:rPr>
              <w:t>приемом на работу инвалидов в пределах установленной квоты</w:t>
            </w:r>
          </w:p>
          <w:p w14:paraId="50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1.1. Описание текущего развития профилактической деятельности </w:t>
            </w:r>
            <w:r>
              <w:rPr>
                <w:rFonts w:ascii="Times New Roman" w:hAnsi="Times New Roman"/>
                <w:color w:val="000000"/>
                <w:sz w:val="22"/>
              </w:rPr>
              <w:t>государственного контроля (надзора</w:t>
            </w:r>
            <w:r>
              <w:rPr>
                <w:rFonts w:ascii="Times New Roman" w:hAnsi="Times New Roman"/>
                <w:color w:val="000000"/>
                <w:sz w:val="22"/>
              </w:rPr>
              <w:t>)</w:t>
            </w:r>
          </w:p>
          <w:p w14:paraId="51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1.2. Характеристика проблем, на решение которых направлена программа профилактики</w:t>
            </w:r>
          </w:p>
          <w:p w14:paraId="52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Раздел 2. Цели и задачи реализации программы профилактики</w:t>
            </w:r>
          </w:p>
          <w:p w14:paraId="53000000">
            <w:pPr>
              <w:widowControl w:val="1"/>
              <w:spacing w:after="0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Раздел 3. Перечень профилактических мероприятий, сроки (периодичность) их проведения</w:t>
            </w:r>
          </w:p>
          <w:p w14:paraId="54000000">
            <w:pPr>
              <w:widowControl w:val="1"/>
              <w:spacing w:after="0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Раздел 4. Показатели результативности и эффективности программы профилактики</w:t>
            </w:r>
          </w:p>
        </w:tc>
      </w:tr>
    </w:tbl>
    <w:p w14:paraId="5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1. Анализ </w:t>
      </w:r>
      <w:r>
        <w:rPr>
          <w:rFonts w:ascii="Times New Roman" w:hAnsi="Times New Roman"/>
          <w:sz w:val="28"/>
        </w:rPr>
        <w:t xml:space="preserve">текущего состояния осуществления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егиональн</w:t>
      </w:r>
      <w:r>
        <w:rPr>
          <w:rFonts w:ascii="Times New Roman" w:hAnsi="Times New Roman"/>
          <w:sz w:val="28"/>
        </w:rPr>
        <w:t xml:space="preserve">ого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ого контроля</w:t>
      </w:r>
      <w:r>
        <w:rPr>
          <w:rFonts w:ascii="Times New Roman" w:hAnsi="Times New Roman"/>
          <w:sz w:val="28"/>
        </w:rPr>
        <w:t xml:space="preserve"> (надзор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за приемом на работу инвалидов в пределах установленной квоты</w:t>
      </w:r>
    </w:p>
    <w:p w14:paraId="5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Квотирование рабочих мест для инвалидов - один из видов социальной поддержки государством незащищенных слоев населения. Установив обязанность по созданию (выделению) квотируемых рабочих мест в организациях независимо от организационно-правовой формы и формы собственности, государство обеспечило равный доступ к труду для инвалидов. Обязанность по квотированию рабочих мест для трудоустройства инвалидов установлена Законом Российской Федерации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19 апреля 1991 года № 1032-1 «О занятости населения в Российской Федерации» (далее - Закон о занятости населения), согласно которому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аботодатели содействуют проведению государственной политики занятости населения на основе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соблюдения установленной квоты для трудоустройства инвалидов</w:t>
      </w:r>
      <w:r>
        <w:rPr>
          <w:rFonts w:ascii="Times New Roman" w:hAnsi="Times New Roman"/>
          <w:sz w:val="28"/>
        </w:rPr>
        <w:t>, которая</w:t>
      </w:r>
      <w:r>
        <w:rPr>
          <w:rFonts w:ascii="Times New Roman" w:hAnsi="Times New Roman"/>
          <w:sz w:val="28"/>
        </w:rPr>
        <w:t xml:space="preserve"> устанавливается в соответствии с</w:t>
      </w:r>
      <w:r>
        <w:rPr>
          <w:rFonts w:ascii="Times New Roman" w:hAnsi="Times New Roman"/>
          <w:sz w:val="28"/>
        </w:rPr>
        <w:t>о статьей 13.2 Закона о занятости населения</w:t>
      </w:r>
      <w:r>
        <w:rPr>
          <w:rFonts w:ascii="Times New Roman" w:hAnsi="Times New Roman"/>
          <w:sz w:val="28"/>
        </w:rPr>
        <w:t>. 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указанной </w:t>
      </w:r>
      <w:r>
        <w:rPr>
          <w:rFonts w:ascii="Times New Roman" w:hAnsi="Times New Roman"/>
          <w:sz w:val="28"/>
        </w:rPr>
        <w:t xml:space="preserve"> статье</w:t>
      </w:r>
      <w:r>
        <w:rPr>
          <w:rFonts w:ascii="Times New Roman" w:hAnsi="Times New Roman"/>
          <w:sz w:val="28"/>
        </w:rPr>
        <w:t xml:space="preserve"> работодателям, численность работников которых:</w:t>
      </w:r>
    </w:p>
    <w:p w14:paraId="5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превышает 100 человек,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работников;</w:t>
      </w:r>
    </w:p>
    <w:p w14:paraId="5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составляет не менее чем 35 человек и не более чем 100 человек,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работников.</w:t>
      </w: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Камчатского края квотирование рабочих мест регламентируется Законом Камчатского края от 11.06.2009 № 284                                        «О квотировании в Камчатском крае рабочих мест для отдельных категорий граждан, испытывающих трудности в поиске работы» (далее - Закон о квотировании), согласно которому квота для инвалидов устанавливается работодателям, численность работников которых составляет более 100 человек, в размере 2 процентов среднесписочной численности работников, а численность работников которых составляет не менее чем 35 человек и не более чем 100 человек, в размере 3 процентов среднесписочной численности работников.</w:t>
      </w: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3" w:name="_GoBack"/>
      <w:bookmarkEnd w:id="3"/>
      <w:r>
        <w:rPr>
          <w:rFonts w:ascii="Times New Roman" w:hAnsi="Times New Roman"/>
          <w:sz w:val="28"/>
        </w:rPr>
        <w:t>На территории Камчатского края осуществляет деятельность 631 подконтрольный субъект.</w:t>
      </w: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контроля за исполнением работодателями обязательных требований, а также в целях привлечения допустивших нарушения обязательных требований работодателей к ответственности, Законом о занятости населения органы государственной власти субъекта Российской Федерации в области содействия занятости наделены полномочиями по осуществлению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егиональн</w:t>
      </w:r>
      <w:r>
        <w:rPr>
          <w:rFonts w:ascii="Times New Roman" w:hAnsi="Times New Roman"/>
          <w:sz w:val="28"/>
        </w:rPr>
        <w:t xml:space="preserve">ого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ого контроля</w:t>
      </w:r>
      <w:r>
        <w:rPr>
          <w:rFonts w:ascii="Times New Roman" w:hAnsi="Times New Roman"/>
          <w:sz w:val="28"/>
        </w:rPr>
        <w:t xml:space="preserve"> (надзор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за приемом на работу инвалидов в пределах установленной квоты</w:t>
      </w:r>
      <w:r>
        <w:rPr>
          <w:rFonts w:ascii="Times New Roman" w:hAnsi="Times New Roman"/>
          <w:sz w:val="28"/>
        </w:rPr>
        <w:t>.</w:t>
      </w:r>
    </w:p>
    <w:p w14:paraId="5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Камчатском крае таким органом в соответствии с постановлением Правительства Камчатского края от 31.03.2023 № 179-П является Министерство</w:t>
      </w:r>
      <w:r>
        <w:rPr>
          <w:rFonts w:ascii="Times New Roman" w:hAnsi="Times New Roman"/>
          <w:sz w:val="28"/>
        </w:rPr>
        <w:t xml:space="preserve"> труда и развития кадрового потенциала Камчатского края</w:t>
      </w:r>
      <w:r>
        <w:rPr>
          <w:rFonts w:ascii="Times New Roman" w:hAnsi="Times New Roman"/>
          <w:sz w:val="28"/>
        </w:rPr>
        <w:t>.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реализует указанное полномочие путем проведения плановых документарных проверок в отношении юридических лиц и индивидуальных предпринимателей.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01.01.2022 р</w:t>
      </w:r>
      <w:r>
        <w:rPr>
          <w:rFonts w:ascii="Times New Roman" w:hAnsi="Times New Roman"/>
          <w:sz w:val="28"/>
        </w:rPr>
        <w:t>егиональн</w:t>
      </w:r>
      <w:r>
        <w:rPr>
          <w:rFonts w:ascii="Times New Roman" w:hAnsi="Times New Roman"/>
          <w:sz w:val="28"/>
        </w:rPr>
        <w:t xml:space="preserve">ый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ый контроль</w:t>
      </w:r>
      <w:r>
        <w:rPr>
          <w:rFonts w:ascii="Times New Roman" w:hAnsi="Times New Roman"/>
          <w:sz w:val="28"/>
        </w:rPr>
        <w:t xml:space="preserve"> (надзор) за приемом на работу инвалидов в пределах установленной квоты</w:t>
      </w:r>
      <w:r>
        <w:rPr>
          <w:rFonts w:ascii="Times New Roman" w:hAnsi="Times New Roman"/>
          <w:sz w:val="28"/>
        </w:rPr>
        <w:t xml:space="preserve"> осуществляется в соответствии с положением </w:t>
      </w:r>
      <w:r>
        <w:rPr>
          <w:rFonts w:ascii="Times New Roman" w:hAnsi="Times New Roman"/>
          <w:sz w:val="28"/>
        </w:rPr>
        <w:t>о региональном государственном контроле (надзоре) за приемом на работу инвалидов в пределах установленной квоты в Камчатском крае</w:t>
      </w:r>
      <w:r>
        <w:rPr>
          <w:rFonts w:ascii="Times New Roman" w:hAnsi="Times New Roman"/>
          <w:sz w:val="28"/>
        </w:rPr>
        <w:t>, утвержденным постановлением Правительства Камчатского края от 21.09.2021 № 404-П.</w:t>
      </w:r>
    </w:p>
    <w:p w14:paraId="6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2021 год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Министерством проведены </w:t>
      </w:r>
      <w:r>
        <w:rPr>
          <w:rFonts w:ascii="Times New Roman" w:hAnsi="Times New Roman"/>
          <w:sz w:val="28"/>
        </w:rPr>
        <w:t>35</w:t>
      </w:r>
      <w:r>
        <w:rPr>
          <w:rFonts w:ascii="Times New Roman" w:hAnsi="Times New Roman"/>
          <w:sz w:val="28"/>
        </w:rPr>
        <w:t xml:space="preserve"> проверок подконтрольных субъектов, составлено </w:t>
      </w:r>
      <w:r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 xml:space="preserve"> протоколов об административных правонарушениях по статье 19.7 КоАП РФ</w:t>
      </w:r>
      <w:r>
        <w:rPr>
          <w:rFonts w:ascii="Times New Roman" w:hAnsi="Times New Roman"/>
          <w:sz w:val="28"/>
        </w:rPr>
        <w:t xml:space="preserve"> (к административной ответственности привлечены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работодател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6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административной ответственности, предусмотренной частью 1 </w:t>
      </w:r>
      <w:r>
        <w:rPr>
          <w:rFonts w:ascii="Times New Roman" w:hAnsi="Times New Roman"/>
          <w:sz w:val="28"/>
        </w:rPr>
        <w:t>стать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5.42 КоАП РФ</w:t>
      </w:r>
      <w:r>
        <w:rPr>
          <w:rFonts w:ascii="Times New Roman" w:hAnsi="Times New Roman"/>
          <w:sz w:val="28"/>
        </w:rPr>
        <w:t xml:space="preserve"> за неисполнение работодателем обязанности по созданию или выделению рабочих мест для трудоустройства инвалидов в соответствии с установленной квотой для приема на работу инвалидов, а также отказ работодателя в приеме на работу инвалида в пределах установленной квоты , предусматривающей наложение административного штрафа  на должностных лиц в размере от пяти тысяч  до десяти тысяч рублей, в 2021 году к ответственности привлечено одно должностное лицо с вынесением предупреждения.</w:t>
      </w:r>
    </w:p>
    <w:p w14:paraId="6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Также </w:t>
      </w:r>
      <w:r>
        <w:rPr>
          <w:rFonts w:ascii="Times New Roman" w:hAnsi="Times New Roman"/>
          <w:sz w:val="28"/>
        </w:rPr>
        <w:t xml:space="preserve">выдано </w:t>
      </w:r>
      <w:r>
        <w:rPr>
          <w:rFonts w:ascii="Times New Roman" w:hAnsi="Times New Roman"/>
          <w:sz w:val="28"/>
        </w:rPr>
        <w:t xml:space="preserve">12 </w:t>
      </w:r>
      <w:r>
        <w:rPr>
          <w:rFonts w:ascii="Times New Roman" w:hAnsi="Times New Roman"/>
          <w:sz w:val="28"/>
        </w:rPr>
        <w:t>предписаний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 устранении работодателями нарушений обязательных требований</w:t>
      </w:r>
      <w:r>
        <w:rPr>
          <w:rFonts w:ascii="Times New Roman" w:hAnsi="Times New Roman"/>
          <w:sz w:val="28"/>
        </w:rPr>
        <w:t>.</w:t>
      </w:r>
    </w:p>
    <w:p w14:paraId="6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</w:t>
      </w:r>
      <w:r>
        <w:rPr>
          <w:rFonts w:ascii="Times New Roman" w:hAnsi="Times New Roman"/>
          <w:sz w:val="28"/>
        </w:rPr>
        <w:t xml:space="preserve"> профилактической работы направлено </w:t>
      </w:r>
      <w:r>
        <w:rPr>
          <w:rFonts w:ascii="Times New Roman" w:hAnsi="Times New Roman"/>
          <w:sz w:val="28"/>
        </w:rPr>
        <w:t>109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предостережений работодателям о недопустимости нарушений обязательных требований законодательства о занятости населения</w:t>
      </w:r>
      <w:r>
        <w:rPr>
          <w:rFonts w:ascii="Times New Roman" w:hAnsi="Times New Roman"/>
          <w:sz w:val="28"/>
        </w:rPr>
        <w:t>.</w:t>
      </w:r>
    </w:p>
    <w:p w14:paraId="6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марте 2022 года 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>
        <w:rPr>
          <w:rFonts w:ascii="Times New Roman" w:hAnsi="Times New Roman"/>
          <w:sz w:val="28"/>
        </w:rPr>
        <w:t xml:space="preserve"> проведены мероприятия по </w:t>
      </w:r>
      <w:r>
        <w:rPr>
          <w:rFonts w:ascii="Times New Roman" w:hAnsi="Times New Roman"/>
          <w:sz w:val="28"/>
        </w:rPr>
        <w:t>внесению изменений в план проверок на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 в части исключения плановых проверок в отношении юридических лиц и индивидуальных предпринимателей</w:t>
      </w:r>
      <w:r>
        <w:rPr>
          <w:rFonts w:ascii="Times New Roman" w:hAnsi="Times New Roman"/>
          <w:sz w:val="28"/>
        </w:rPr>
        <w:t>.</w:t>
      </w:r>
    </w:p>
    <w:p w14:paraId="6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изложенным, в 2022 году Министерством проведено 5 проверок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результатам которых протокол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об административн</w:t>
      </w:r>
      <w:r>
        <w:rPr>
          <w:rFonts w:ascii="Times New Roman" w:hAnsi="Times New Roman"/>
          <w:sz w:val="28"/>
        </w:rPr>
        <w:t>ых правонарушениях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части 1 статьи 5.42 КоАП РФ, статье </w:t>
      </w:r>
      <w:r>
        <w:rPr>
          <w:rFonts w:ascii="Times New Roman" w:hAnsi="Times New Roman"/>
          <w:sz w:val="28"/>
        </w:rPr>
        <w:t>19.7 КоАП РФ</w:t>
      </w:r>
      <w:r>
        <w:rPr>
          <w:rFonts w:ascii="Times New Roman" w:hAnsi="Times New Roman"/>
          <w:sz w:val="28"/>
        </w:rPr>
        <w:t xml:space="preserve"> не составлялись</w:t>
      </w:r>
      <w:r>
        <w:rPr>
          <w:rFonts w:ascii="Times New Roman" w:hAnsi="Times New Roman"/>
          <w:sz w:val="28"/>
        </w:rPr>
        <w:t>.</w:t>
      </w:r>
    </w:p>
    <w:p w14:paraId="6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Также в рамках профилактической работы в 2022 году направлено 55 предостережений работодателям о недопустимости нарушения обязательных требований законодательства о занятости и проведено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профилактических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которых 4 публичных обсуждения правоприменительной практики.</w:t>
      </w:r>
    </w:p>
    <w:p w14:paraId="6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в связи с продолжением моратория на плановые проверки Министерством таких проверок не проводилось.</w:t>
      </w:r>
    </w:p>
    <w:p w14:paraId="6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3 кварталов 2023 года направлено 90</w:t>
      </w:r>
      <w:r>
        <w:rPr>
          <w:rFonts w:ascii="Times New Roman" w:hAnsi="Times New Roman"/>
          <w:sz w:val="28"/>
        </w:rPr>
        <w:t xml:space="preserve"> предостережений работодателям о недопустимости нарушения обязательных требований законодательства о занятости населения и проведено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профилактических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которых 3 публичных обсуждения правоприменительной практики, в том числе публичные слушания.</w:t>
      </w:r>
    </w:p>
    <w:p w14:paraId="6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проведено 17 профилактических визитов.</w:t>
      </w:r>
    </w:p>
    <w:p w14:paraId="6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Субъектами профилактических мероприятий при осуществлении контроля и надзора по вопросу приема на работу инвалидов в пределах установленной квоты с правом проведения проверок и выдачи обязательных для исполнения предписаний являются работодатели Камчатского края независимо от организационно-правовых форм и форм собственности, численность работников для определения квоты которых составляет не менее чем 35 человек.</w:t>
      </w:r>
    </w:p>
    <w:p w14:paraId="6D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Наиболее значимыми рисками для охраняемых законом ценностей являются:</w:t>
      </w:r>
    </w:p>
    <w:p w14:paraId="6E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неисполнение работодателем обязанности по созданию (выделению) рабочих мест для трудоустройства инвалидов в соответствии с установленной квотой для приема на работу инвалидов;</w:t>
      </w:r>
    </w:p>
    <w:p w14:paraId="6F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отказ в приеме на работу инвалида в пределах установленной квоты;</w:t>
      </w:r>
    </w:p>
    <w:p w14:paraId="70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несвоевременное представление информации о выполнении квоты для приема на работу инвалидов, предусмотренной законом, а также представление такой информации в неполном объеме и (или) в искаженном виде, что является нарушением части 3 статьи 25 Закона о занятости населения и влечет административную ответственность, предусмотренную статьей 19.7 КоАП РФ;</w:t>
      </w:r>
    </w:p>
    <w:p w14:paraId="71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н</w:t>
      </w:r>
      <w:r>
        <w:rPr>
          <w:rFonts w:ascii="Times New Roman" w:hAnsi="Times New Roman"/>
          <w:color w:val="000000"/>
          <w:sz w:val="28"/>
        </w:rPr>
        <w:t>е оформления в установленном порядке работодателем трудовых отношений с инвалидами в рамках исполнения обязанности по трудоустройству инвалидов в соответствии с установленной квотой</w:t>
      </w:r>
      <w:r>
        <w:rPr>
          <w:rFonts w:ascii="Times New Roman" w:hAnsi="Times New Roman"/>
          <w:color w:val="000000"/>
          <w:sz w:val="28"/>
        </w:rPr>
        <w:t>.</w:t>
      </w:r>
    </w:p>
    <w:p w14:paraId="7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Осуществление мероприятий Программы профилактики позволит снизить число нарушений обязательных требований</w:t>
      </w:r>
      <w:r>
        <w:rPr>
          <w:rFonts w:ascii="Times New Roman" w:hAnsi="Times New Roman"/>
          <w:sz w:val="28"/>
        </w:rPr>
        <w:t>.</w:t>
      </w:r>
    </w:p>
    <w:p w14:paraId="7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Наиболее актуальными нарушениями обязательных требований является непредоставление или несвоевременное предоставление и</w:t>
      </w:r>
      <w:r>
        <w:rPr>
          <w:rFonts w:ascii="Times New Roman" w:hAnsi="Times New Roman"/>
          <w:color w:val="000000"/>
          <w:sz w:val="28"/>
        </w:rPr>
        <w:t xml:space="preserve">нформации о выполнении квоты для приема на работу инвалидов, предусмотренной законом, и не </w:t>
      </w:r>
      <w:r>
        <w:rPr>
          <w:rFonts w:ascii="Times New Roman" w:hAnsi="Times New Roman"/>
          <w:color w:val="000000"/>
          <w:sz w:val="28"/>
        </w:rPr>
        <w:t>оформление в установленном порядке работодателем трудовых отношений с инвалидами в рамках исполнения обязанности по трудоустройству инвалидов в соответствии с установленной квотой.</w:t>
      </w:r>
    </w:p>
    <w:p w14:paraId="7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5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2. Цели и задачи </w:t>
      </w:r>
      <w:r>
        <w:rPr>
          <w:rFonts w:ascii="Times New Roman" w:hAnsi="Times New Roman"/>
          <w:sz w:val="28"/>
        </w:rPr>
        <w:t>реализации Программы</w:t>
      </w:r>
    </w:p>
    <w:p w14:paraId="76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Целями реализации программы профилактики являются:</w:t>
      </w:r>
    </w:p>
    <w:p w14:paraId="77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стимулирование добросовестного соблюдения обязательных требований всеми контролируемыми лицами;</w:t>
      </w:r>
    </w:p>
    <w:p w14:paraId="78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79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выполнение контролируемыми лицами установленной квоты для приема на работу инвалидов в полном объеме;</w:t>
      </w:r>
    </w:p>
    <w:p w14:paraId="7A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 снижение административной нагрузки на работодателей;</w:t>
      </w:r>
    </w:p>
    <w:p w14:paraId="7B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снижение напряженности на региональном рынке труда среди граждан, имеющих инвалидность</w:t>
      </w:r>
      <w:r>
        <w:rPr>
          <w:rFonts w:ascii="Times New Roman" w:hAnsi="Times New Roman"/>
          <w:color w:val="000000"/>
          <w:sz w:val="28"/>
        </w:rPr>
        <w:t xml:space="preserve"> и повышение их занятости</w:t>
      </w:r>
      <w:r>
        <w:rPr>
          <w:rFonts w:ascii="Times New Roman" w:hAnsi="Times New Roman"/>
          <w:color w:val="000000"/>
          <w:sz w:val="28"/>
        </w:rPr>
        <w:t>;</w:t>
      </w:r>
    </w:p>
    <w:p w14:paraId="7C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 повышение эффективности осуществления контрольно-надзорной деятельности.</w:t>
      </w:r>
    </w:p>
    <w:p w14:paraId="7D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Задачами реализации программы профилактики являются:</w:t>
      </w:r>
    </w:p>
    <w:p w14:paraId="7E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установление и оценка зависимости видов, форм и интенсивности профилактических мероприятий от особенностей объектов контроля, проведение профилактических мероприятий с учетом данных факторов;</w:t>
      </w:r>
    </w:p>
    <w:p w14:paraId="7F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повышение квалификации должностных, осуществляющих государственный контроль (надзор);</w:t>
      </w:r>
    </w:p>
    <w:p w14:paraId="80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использование современных информационно-телекоммуникационных технологий при проведении профилактических мероприятий;</w:t>
      </w:r>
    </w:p>
    <w:p w14:paraId="81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>осуществление планирования проведения профилактических мероприятий на основе принципов их понятности, информационной открытости, полноты охвата ими максимального количества контролируемых лиц.</w:t>
      </w:r>
    </w:p>
    <w:p w14:paraId="82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83000000">
      <w:pPr>
        <w:spacing w:after="0" w:beforeAutospacing="on" w:line="240" w:lineRule="auto"/>
        <w:ind w:firstLine="0" w:left="1123" w:right="987"/>
        <w:jc w:val="center"/>
        <w:rPr>
          <w:rFonts w:ascii="Times New Roman" w:hAnsi="Times New Roman"/>
          <w:color w:val="1F1D26"/>
          <w:sz w:val="28"/>
        </w:rPr>
      </w:pPr>
      <w:r>
        <w:rPr>
          <w:rFonts w:ascii="Times New Roman" w:hAnsi="Times New Roman"/>
          <w:color w:val="1F1D26"/>
          <w:sz w:val="28"/>
        </w:rPr>
        <w:t xml:space="preserve">Раздел 3. </w:t>
      </w:r>
      <w:r>
        <w:rPr>
          <w:rFonts w:ascii="Times New Roman" w:hAnsi="Times New Roman"/>
          <w:color w:val="1F1D26"/>
          <w:sz w:val="28"/>
        </w:rPr>
        <w:t>Перечень профилактических меро</w:t>
      </w:r>
      <w:r>
        <w:rPr>
          <w:rFonts w:ascii="Times New Roman" w:hAnsi="Times New Roman"/>
          <w:color w:val="1F1D26"/>
          <w:sz w:val="28"/>
        </w:rPr>
        <w:t>приятий, сроки (периодичность) их проведения</w:t>
      </w:r>
    </w:p>
    <w:p w14:paraId="84000000">
      <w:pPr>
        <w:spacing w:after="0" w:beforeAutospacing="on" w:line="240" w:lineRule="auto"/>
        <w:ind w:firstLine="0" w:left="1123" w:right="987"/>
        <w:jc w:val="center"/>
        <w:rPr>
          <w:rFonts w:ascii="Times New Roman" w:hAnsi="Times New Roman"/>
          <w:color w:val="1F1D26"/>
          <w:sz w:val="28"/>
        </w:rPr>
      </w:pPr>
    </w:p>
    <w:tbl>
      <w:tblPr>
        <w:tblStyle w:val="Style_4"/>
        <w:tblInd w:type="dxa" w:w="279"/>
        <w:tblLayout w:type="fixed"/>
      </w:tblPr>
      <w:tblGrid>
        <w:gridCol w:w="424"/>
        <w:gridCol w:w="3638"/>
        <w:gridCol w:w="7"/>
        <w:gridCol w:w="1553"/>
        <w:gridCol w:w="7"/>
        <w:gridCol w:w="2025"/>
        <w:gridCol w:w="1701"/>
      </w:tblGrid>
      <w:tr>
        <w:tc>
          <w:tcPr>
            <w:tcW w:type="dxa" w:w="424"/>
          </w:tcPr>
          <w:p w14:paraId="85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№</w:t>
            </w:r>
          </w:p>
        </w:tc>
        <w:tc>
          <w:tcPr>
            <w:tcW w:type="dxa" w:w="3638"/>
          </w:tcPr>
          <w:p w14:paraId="86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Мероприятия</w:t>
            </w:r>
          </w:p>
        </w:tc>
        <w:tc>
          <w:tcPr>
            <w:tcW w:type="dxa" w:w="1560"/>
            <w:gridSpan w:val="2"/>
          </w:tcPr>
          <w:p w14:paraId="87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Сроки</w:t>
            </w:r>
          </w:p>
        </w:tc>
        <w:tc>
          <w:tcPr>
            <w:tcW w:type="dxa" w:w="2032"/>
            <w:gridSpan w:val="2"/>
          </w:tcPr>
          <w:p w14:paraId="88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Ожидаемый результат</w:t>
            </w:r>
          </w:p>
        </w:tc>
        <w:tc>
          <w:tcPr>
            <w:tcW w:type="dxa" w:w="1701"/>
          </w:tcPr>
          <w:p w14:paraId="89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Исполнитель</w:t>
            </w:r>
          </w:p>
        </w:tc>
      </w:tr>
      <w:tr>
        <w:tc>
          <w:tcPr>
            <w:tcW w:type="dxa" w:w="424"/>
          </w:tcPr>
          <w:p w14:paraId="8A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1</w:t>
            </w:r>
          </w:p>
        </w:tc>
        <w:tc>
          <w:tcPr>
            <w:tcW w:type="dxa" w:w="3645"/>
            <w:gridSpan w:val="2"/>
          </w:tcPr>
          <w:p w14:paraId="8B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2</w:t>
            </w:r>
          </w:p>
        </w:tc>
        <w:tc>
          <w:tcPr>
            <w:tcW w:type="dxa" w:w="1560"/>
            <w:gridSpan w:val="2"/>
          </w:tcPr>
          <w:p w14:paraId="8C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3</w:t>
            </w:r>
          </w:p>
        </w:tc>
        <w:tc>
          <w:tcPr>
            <w:tcW w:type="dxa" w:w="2025"/>
          </w:tcPr>
          <w:p w14:paraId="8D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4</w:t>
            </w:r>
          </w:p>
        </w:tc>
        <w:tc>
          <w:tcPr>
            <w:tcW w:type="dxa" w:w="1701"/>
          </w:tcPr>
          <w:p w14:paraId="8E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5</w:t>
            </w:r>
          </w:p>
        </w:tc>
      </w:tr>
      <w:tr>
        <w:tc>
          <w:tcPr>
            <w:tcW w:type="dxa" w:w="424"/>
          </w:tcPr>
          <w:p w14:paraId="8F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1.</w:t>
            </w:r>
          </w:p>
        </w:tc>
        <w:tc>
          <w:tcPr>
            <w:tcW w:type="dxa" w:w="8931"/>
            <w:gridSpan w:val="6"/>
          </w:tcPr>
          <w:p w14:paraId="90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Информирование</w:t>
            </w:r>
          </w:p>
        </w:tc>
      </w:tr>
      <w:tr>
        <w:tc>
          <w:tcPr>
            <w:tcW w:type="dxa" w:w="424"/>
          </w:tcPr>
          <w:p w14:paraId="9100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а)</w:t>
            </w:r>
          </w:p>
        </w:tc>
        <w:tc>
          <w:tcPr>
            <w:tcW w:type="dxa" w:w="3638"/>
          </w:tcPr>
          <w:p w14:paraId="92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Размещение и поддержание в</w:t>
            </w:r>
            <w:r>
              <w:rPr>
                <w:rFonts w:ascii="Times New Roman" w:hAnsi="Times New Roman"/>
                <w:color w:val="1F1D26"/>
                <w:spacing w:val="45"/>
              </w:rPr>
              <w:t xml:space="preserve"> </w:t>
            </w:r>
            <w:r>
              <w:rPr>
                <w:rFonts w:ascii="Times New Roman" w:hAnsi="Times New Roman"/>
                <w:color w:val="1F1D26"/>
              </w:rPr>
              <w:t xml:space="preserve">актуальной редакции на официальном сайте </w:t>
            </w:r>
            <w:r>
              <w:rPr>
                <w:rFonts w:ascii="Times New Roman" w:hAnsi="Times New Roman"/>
                <w:color w:val="1F1D26"/>
              </w:rPr>
              <w:t>Министерства  в</w:t>
            </w:r>
            <w:r>
              <w:rPr>
                <w:rFonts w:ascii="Times New Roman" w:hAnsi="Times New Roman"/>
                <w:color w:val="1F1D26"/>
              </w:rPr>
              <w:t xml:space="preserve"> информационно-телекоммуникационной сети   «Интернет»</w:t>
            </w:r>
            <w:r>
              <w:rPr>
                <w:rFonts w:ascii="Times New Roman" w:hAnsi="Times New Roman"/>
                <w:color w:val="1F1D26"/>
              </w:rPr>
              <w:t>:</w:t>
            </w:r>
          </w:p>
          <w:p w14:paraId="93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-</w:t>
            </w:r>
            <w:r>
              <w:rPr>
                <w:rFonts w:ascii="Times New Roman" w:hAnsi="Times New Roman"/>
                <w:color w:val="1F1D26"/>
              </w:rPr>
              <w:t xml:space="preserve">  </w:t>
            </w:r>
            <w:r>
              <w:rPr>
                <w:rFonts w:ascii="Times New Roman" w:hAnsi="Times New Roman"/>
                <w:color w:val="1F1D26"/>
              </w:rPr>
              <w:t>текст</w:t>
            </w:r>
            <w:r>
              <w:rPr>
                <w:rFonts w:ascii="Times New Roman" w:hAnsi="Times New Roman"/>
                <w:color w:val="1F1D26"/>
              </w:rPr>
              <w:t>ов</w:t>
            </w:r>
            <w:r>
              <w:rPr>
                <w:rFonts w:ascii="Times New Roman" w:hAnsi="Times New Roman"/>
                <w:color w:val="1F1D26"/>
              </w:rPr>
              <w:t xml:space="preserve"> нормативных правовых актов, регулирующих осуществление регионального контроля;</w:t>
            </w:r>
            <w:r>
              <w:rPr>
                <w:rFonts w:ascii="Times New Roman" w:hAnsi="Times New Roman"/>
                <w:color w:val="1F1D26"/>
              </w:rPr>
              <w:t xml:space="preserve"> </w:t>
            </w:r>
            <w:r>
              <w:rPr>
                <w:rFonts w:ascii="Times New Roman" w:hAnsi="Times New Roman"/>
                <w:color w:val="1F1D26"/>
              </w:rPr>
              <w:tab/>
            </w:r>
          </w:p>
          <w:p w14:paraId="94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>
              <w:rPr>
                <w:rFonts w:ascii="Times New Roman" w:hAnsi="Times New Roman"/>
                <w:color w:val="1F1D26"/>
              </w:rPr>
              <w:t>сведени</w:t>
            </w:r>
            <w:r>
              <w:rPr>
                <w:rFonts w:ascii="Times New Roman" w:hAnsi="Times New Roman"/>
                <w:color w:val="1F1D26"/>
              </w:rPr>
              <w:t>й</w:t>
            </w:r>
            <w:r>
              <w:rPr>
                <w:rFonts w:ascii="Times New Roman" w:hAnsi="Times New Roman"/>
                <w:color w:val="1F1D26"/>
              </w:rPr>
              <w:t xml:space="preserve"> об изменениях, внесенных в нормативные правовые акты, регулирующие осуществление </w:t>
            </w:r>
            <w:r>
              <w:rPr>
                <w:rFonts w:ascii="Times New Roman" w:hAnsi="Times New Roman"/>
                <w:color w:val="1F1D26"/>
              </w:rPr>
              <w:t>регионального контроля, о сроках и порядке их вступления в силу;</w:t>
            </w:r>
            <w:r>
              <w:rPr>
                <w:rFonts w:ascii="Times New Roman" w:hAnsi="Times New Roman"/>
                <w:color w:val="1F1D26"/>
              </w:rPr>
              <w:t xml:space="preserve"> </w:t>
            </w:r>
          </w:p>
          <w:p w14:paraId="95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>
              <w:rPr>
                <w:rFonts w:ascii="Times New Roman" w:hAnsi="Times New Roman"/>
                <w:color w:val="1F1D26"/>
              </w:rPr>
              <w:t>переч</w:t>
            </w:r>
            <w:r>
              <w:rPr>
                <w:rFonts w:ascii="Times New Roman" w:hAnsi="Times New Roman"/>
                <w:color w:val="1F1D26"/>
              </w:rPr>
              <w:t>ня</w:t>
            </w:r>
            <w:r>
              <w:rPr>
                <w:rFonts w:ascii="Times New Roman" w:hAnsi="Times New Roman"/>
                <w:color w:val="1F1D26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  <w:r>
              <w:rPr>
                <w:rFonts w:ascii="Times New Roman" w:hAnsi="Times New Roman"/>
                <w:color w:val="1F1D26"/>
              </w:rPr>
              <w:t xml:space="preserve"> </w:t>
            </w:r>
          </w:p>
          <w:p w14:paraId="96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>
              <w:rPr>
                <w:rFonts w:ascii="Times New Roman" w:hAnsi="Times New Roman"/>
                <w:color w:val="1F1D26"/>
              </w:rPr>
              <w:t>руководств по соблюдению обязательных требований, разработанны</w:t>
            </w:r>
            <w:r>
              <w:rPr>
                <w:rFonts w:ascii="Times New Roman" w:hAnsi="Times New Roman"/>
                <w:color w:val="1F1D26"/>
              </w:rPr>
              <w:t>х</w:t>
            </w:r>
            <w:r>
              <w:rPr>
                <w:rFonts w:ascii="Times New Roman" w:hAnsi="Times New Roman"/>
                <w:color w:val="1F1D26"/>
              </w:rPr>
              <w:t xml:space="preserve"> и утвержденных</w:t>
            </w:r>
            <w:r>
              <w:rPr>
                <w:rFonts w:ascii="Times New Roman" w:hAnsi="Times New Roman"/>
                <w:color w:val="1F1D26"/>
              </w:rPr>
              <w:t xml:space="preserve"> в соответствии с Федеральным законом от 31.07.2020                              № 247-ФЗ «Об обязательных требованиях в Российской Федерации»;</w:t>
            </w:r>
            <w:r>
              <w:rPr>
                <w:rFonts w:ascii="Times New Roman" w:hAnsi="Times New Roman"/>
                <w:color w:val="1F1D26"/>
              </w:rPr>
              <w:t xml:space="preserve"> </w:t>
            </w:r>
          </w:p>
          <w:p w14:paraId="97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>
              <w:rPr>
                <w:rFonts w:ascii="Times New Roman" w:hAnsi="Times New Roman"/>
                <w:color w:val="1F1D26"/>
              </w:rPr>
              <w:t>переч</w:t>
            </w:r>
            <w:r>
              <w:rPr>
                <w:rFonts w:ascii="Times New Roman" w:hAnsi="Times New Roman"/>
                <w:color w:val="1F1D26"/>
              </w:rPr>
              <w:t>н</w:t>
            </w:r>
            <w:r>
              <w:rPr>
                <w:rFonts w:ascii="Times New Roman" w:hAnsi="Times New Roman"/>
                <w:color w:val="1F1D26"/>
              </w:rPr>
              <w:t>я</w:t>
            </w:r>
            <w:r>
              <w:rPr>
                <w:rFonts w:ascii="Times New Roman" w:hAnsi="Times New Roman"/>
                <w:color w:val="1F1D26"/>
              </w:rPr>
              <w:t xml:space="preserve"> индикаторов риска нарушения обязательных требований, порядок отнесения объектов контроля к категориям риска;</w:t>
            </w:r>
            <w:r>
              <w:rPr>
                <w:rFonts w:ascii="Times New Roman" w:hAnsi="Times New Roman"/>
                <w:color w:val="1F1D26"/>
              </w:rPr>
              <w:t xml:space="preserve"> переч</w:t>
            </w:r>
            <w:r>
              <w:rPr>
                <w:rFonts w:ascii="Times New Roman" w:hAnsi="Times New Roman"/>
                <w:color w:val="1F1D26"/>
              </w:rPr>
              <w:t>н</w:t>
            </w:r>
            <w:r>
              <w:rPr>
                <w:rFonts w:ascii="Times New Roman" w:hAnsi="Times New Roman"/>
                <w:color w:val="1F1D26"/>
              </w:rPr>
              <w:t>я</w:t>
            </w:r>
            <w:r>
              <w:rPr>
                <w:rFonts w:ascii="Times New Roman" w:hAnsi="Times New Roman"/>
                <w:color w:val="1F1D26"/>
              </w:rPr>
              <w:t xml:space="preserve">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  <w:r>
              <w:rPr>
                <w:rFonts w:ascii="Times New Roman" w:hAnsi="Times New Roman"/>
                <w:color w:val="1F1D26"/>
              </w:rPr>
              <w:t xml:space="preserve"> </w:t>
            </w:r>
          </w:p>
          <w:p w14:paraId="98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>
              <w:rPr>
                <w:rFonts w:ascii="Times New Roman" w:hAnsi="Times New Roman"/>
                <w:color w:val="1F1D26"/>
              </w:rPr>
              <w:t>программ</w:t>
            </w:r>
            <w:r>
              <w:rPr>
                <w:rFonts w:ascii="Times New Roman" w:hAnsi="Times New Roman"/>
                <w:color w:val="1F1D26"/>
              </w:rPr>
              <w:t>ы</w:t>
            </w:r>
            <w:r>
              <w:rPr>
                <w:rFonts w:ascii="Times New Roman" w:hAnsi="Times New Roman"/>
                <w:color w:val="1F1D26"/>
              </w:rPr>
              <w:t xml:space="preserve"> профилактики рисков причинения вреда и план</w:t>
            </w:r>
            <w:r>
              <w:rPr>
                <w:rFonts w:ascii="Times New Roman" w:hAnsi="Times New Roman"/>
                <w:color w:val="1F1D26"/>
              </w:rPr>
              <w:t>а</w:t>
            </w:r>
            <w:r>
              <w:rPr>
                <w:rFonts w:ascii="Times New Roman" w:hAnsi="Times New Roman"/>
                <w:color w:val="1F1D26"/>
              </w:rPr>
              <w:t xml:space="preserve"> проведения плановых контрольных (надзорных) мероприятий Министерством (при проведении таких мероприятий);</w:t>
            </w:r>
          </w:p>
          <w:p w14:paraId="99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-</w:t>
            </w:r>
            <w:r>
              <w:rPr>
                <w:rFonts w:ascii="Times New Roman" w:hAnsi="Times New Roman"/>
                <w:color w:val="1F1D26"/>
              </w:rPr>
              <w:t xml:space="preserve"> </w:t>
            </w:r>
            <w:r>
              <w:rPr>
                <w:rFonts w:ascii="Times New Roman" w:hAnsi="Times New Roman"/>
                <w:color w:val="1F1D26"/>
              </w:rPr>
              <w:t>исчерпывающ</w:t>
            </w:r>
            <w:r>
              <w:rPr>
                <w:rFonts w:ascii="Times New Roman" w:hAnsi="Times New Roman"/>
                <w:color w:val="1F1D26"/>
              </w:rPr>
              <w:t>его переч</w:t>
            </w:r>
            <w:r>
              <w:rPr>
                <w:rFonts w:ascii="Times New Roman" w:hAnsi="Times New Roman"/>
                <w:color w:val="1F1D26"/>
              </w:rPr>
              <w:t>н</w:t>
            </w:r>
            <w:r>
              <w:rPr>
                <w:rFonts w:ascii="Times New Roman" w:hAnsi="Times New Roman"/>
                <w:color w:val="1F1D26"/>
              </w:rPr>
              <w:t>я</w:t>
            </w:r>
            <w:r>
              <w:rPr>
                <w:rFonts w:ascii="Times New Roman" w:hAnsi="Times New Roman"/>
                <w:color w:val="1F1D26"/>
              </w:rPr>
              <w:t xml:space="preserve"> сведений, которые могут запрашиваться Министерством у контролируемого лица;</w:t>
            </w:r>
          </w:p>
          <w:p w14:paraId="9A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>
              <w:rPr>
                <w:rFonts w:ascii="Times New Roman" w:hAnsi="Times New Roman"/>
                <w:color w:val="1F1D26"/>
              </w:rPr>
              <w:t>сведени</w:t>
            </w:r>
            <w:r>
              <w:rPr>
                <w:rFonts w:ascii="Times New Roman" w:hAnsi="Times New Roman"/>
                <w:color w:val="1F1D26"/>
              </w:rPr>
              <w:t>й</w:t>
            </w:r>
            <w:r>
              <w:rPr>
                <w:rFonts w:ascii="Times New Roman" w:hAnsi="Times New Roman"/>
                <w:color w:val="1F1D26"/>
              </w:rPr>
              <w:t xml:space="preserve"> о способах получения консультаций по вопросам соблюдения обязательных требований;</w:t>
            </w:r>
          </w:p>
          <w:p w14:paraId="9B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-</w:t>
            </w:r>
            <w:r>
              <w:rPr>
                <w:rFonts w:ascii="Times New Roman" w:hAnsi="Times New Roman"/>
                <w:color w:val="1F1D26"/>
              </w:rPr>
              <w:tab/>
            </w:r>
            <w:r>
              <w:rPr>
                <w:rFonts w:ascii="Times New Roman" w:hAnsi="Times New Roman"/>
                <w:color w:val="1F1D26"/>
              </w:rPr>
              <w:t>сведени</w:t>
            </w:r>
            <w:r>
              <w:rPr>
                <w:rFonts w:ascii="Times New Roman" w:hAnsi="Times New Roman"/>
                <w:color w:val="1F1D26"/>
              </w:rPr>
              <w:t>й</w:t>
            </w:r>
            <w:r>
              <w:rPr>
                <w:rFonts w:ascii="Times New Roman" w:hAnsi="Times New Roman"/>
                <w:color w:val="1F1D26"/>
              </w:rPr>
              <w:t xml:space="preserve"> о порядке досудебного обжалования решений Министерства, действий (бездействия) его должностных лиц;</w:t>
            </w:r>
          </w:p>
          <w:p w14:paraId="9C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>
              <w:rPr>
                <w:rFonts w:ascii="Times New Roman" w:hAnsi="Times New Roman"/>
                <w:color w:val="1F1D26"/>
              </w:rPr>
              <w:t>доклад</w:t>
            </w:r>
            <w:r>
              <w:rPr>
                <w:rFonts w:ascii="Times New Roman" w:hAnsi="Times New Roman"/>
                <w:color w:val="1F1D26"/>
              </w:rPr>
              <w:t>ов</w:t>
            </w:r>
            <w:r>
              <w:rPr>
                <w:rFonts w:ascii="Times New Roman" w:hAnsi="Times New Roman"/>
                <w:color w:val="1F1D26"/>
              </w:rPr>
              <w:t>, содержащи</w:t>
            </w:r>
            <w:r>
              <w:rPr>
                <w:rFonts w:ascii="Times New Roman" w:hAnsi="Times New Roman"/>
                <w:color w:val="1F1D26"/>
              </w:rPr>
              <w:t xml:space="preserve">х </w:t>
            </w:r>
            <w:r>
              <w:rPr>
                <w:rFonts w:ascii="Times New Roman" w:hAnsi="Times New Roman"/>
                <w:color w:val="1F1D26"/>
              </w:rPr>
              <w:t>результаты обобщения правоприменительной практики Министерства;</w:t>
            </w:r>
          </w:p>
          <w:p w14:paraId="9D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>
              <w:rPr>
                <w:rFonts w:ascii="Times New Roman" w:hAnsi="Times New Roman"/>
                <w:color w:val="1F1D26"/>
              </w:rPr>
              <w:t>доклад</w:t>
            </w:r>
            <w:r>
              <w:rPr>
                <w:rFonts w:ascii="Times New Roman" w:hAnsi="Times New Roman"/>
                <w:color w:val="1F1D26"/>
              </w:rPr>
              <w:t>ов</w:t>
            </w:r>
            <w:r>
              <w:rPr>
                <w:rFonts w:ascii="Times New Roman" w:hAnsi="Times New Roman"/>
                <w:color w:val="1F1D26"/>
              </w:rPr>
              <w:t xml:space="preserve"> о региональном контроле;</w:t>
            </w:r>
          </w:p>
          <w:p w14:paraId="9E000000">
            <w:pPr>
              <w:ind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-</w:t>
            </w:r>
            <w:r>
              <w:rPr>
                <w:rFonts w:ascii="Times New Roman" w:hAnsi="Times New Roman"/>
                <w:color w:val="1F1D26"/>
              </w:rPr>
              <w:tab/>
            </w:r>
            <w:r>
              <w:rPr>
                <w:rFonts w:ascii="Times New Roman" w:hAnsi="Times New Roman"/>
                <w:color w:val="1F1D26"/>
              </w:rPr>
              <w:t>иных</w:t>
            </w:r>
            <w:r>
              <w:rPr>
                <w:rFonts w:ascii="Times New Roman" w:hAnsi="Times New Roman"/>
                <w:color w:val="1F1D26"/>
              </w:rPr>
              <w:t xml:space="preserve"> сведени</w:t>
            </w:r>
            <w:r>
              <w:rPr>
                <w:rFonts w:ascii="Times New Roman" w:hAnsi="Times New Roman"/>
                <w:color w:val="1F1D26"/>
              </w:rPr>
              <w:t>й</w:t>
            </w:r>
            <w:r>
              <w:rPr>
                <w:rFonts w:ascii="Times New Roman" w:hAnsi="Times New Roman"/>
                <w:color w:val="1F1D26"/>
              </w:rPr>
              <w:t>, предусмотренны</w:t>
            </w:r>
            <w:r>
              <w:rPr>
                <w:rFonts w:ascii="Times New Roman" w:hAnsi="Times New Roman"/>
                <w:color w:val="1F1D26"/>
              </w:rPr>
              <w:t>х</w:t>
            </w:r>
            <w:r>
              <w:rPr>
                <w:rFonts w:ascii="Times New Roman" w:hAnsi="Times New Roman"/>
                <w:color w:val="1F1D26"/>
              </w:rPr>
              <w:t xml:space="preserve"> нормативными правовыми актами Российской </w:t>
            </w:r>
            <w:r>
              <w:rPr>
                <w:rFonts w:ascii="Times New Roman" w:hAnsi="Times New Roman"/>
                <w:color w:val="1F1D26"/>
              </w:rPr>
              <w:t>Федерации, нормативными правовыми Камчатского края и (или) программой профилактики рисков причинения вреда (ущерба) охраняемым законом ценностям;</w:t>
            </w:r>
          </w:p>
          <w:p w14:paraId="9F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- памятки для работодателей, разработанные с учетом </w:t>
            </w:r>
            <w:r>
              <w:rPr>
                <w:rFonts w:ascii="Times New Roman" w:hAnsi="Times New Roman"/>
                <w:sz w:val="22"/>
              </w:rPr>
              <w:t>нормативных правовых актов Камчатского края.</w:t>
            </w:r>
          </w:p>
          <w:p w14:paraId="A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Новостная лента:</w:t>
            </w:r>
          </w:p>
          <w:p w14:paraId="A1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 аналитическая информация об исполнении квоты работодателями</w:t>
            </w:r>
          </w:p>
        </w:tc>
        <w:tc>
          <w:tcPr>
            <w:tcW w:type="dxa" w:w="1560"/>
            <w:gridSpan w:val="2"/>
          </w:tcPr>
          <w:p w14:paraId="A200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Не позднее 5</w:t>
            </w:r>
          </w:p>
          <w:p w14:paraId="A300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рабочих </w:t>
            </w:r>
            <w:r>
              <w:rPr>
                <w:rFonts w:ascii="Times New Roman" w:hAnsi="Times New Roman"/>
                <w:color w:val="1F1D26"/>
              </w:rPr>
              <w:t>дней  с</w:t>
            </w:r>
            <w:r>
              <w:rPr>
                <w:rFonts w:ascii="Times New Roman" w:hAnsi="Times New Roman"/>
                <w:color w:val="1F1D26"/>
              </w:rPr>
              <w:t xml:space="preserve"> даты вступления в</w:t>
            </w:r>
          </w:p>
          <w:p w14:paraId="A400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силу  нормативного</w:t>
            </w:r>
          </w:p>
          <w:p w14:paraId="A500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правового</w:t>
            </w:r>
          </w:p>
          <w:p w14:paraId="A600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акта</w:t>
            </w:r>
          </w:p>
          <w:p w14:paraId="A7000000">
            <w:pPr>
              <w:rPr>
                <w:rFonts w:ascii="Times New Roman" w:hAnsi="Times New Roman"/>
                <w:color w:val="1F1D26"/>
              </w:rPr>
            </w:pPr>
          </w:p>
          <w:p w14:paraId="A8000000">
            <w:pPr>
              <w:rPr>
                <w:rFonts w:ascii="Times New Roman" w:hAnsi="Times New Roman"/>
                <w:color w:val="1F1D26"/>
              </w:rPr>
            </w:pPr>
          </w:p>
          <w:p w14:paraId="A9000000">
            <w:pPr>
              <w:rPr>
                <w:rFonts w:ascii="Times New Roman" w:hAnsi="Times New Roman"/>
                <w:color w:val="1F1D26"/>
              </w:rPr>
            </w:pPr>
          </w:p>
          <w:p w14:paraId="AA000000">
            <w:pPr>
              <w:rPr>
                <w:rFonts w:ascii="Times New Roman" w:hAnsi="Times New Roman"/>
                <w:color w:val="1F1D26"/>
              </w:rPr>
            </w:pPr>
          </w:p>
          <w:p w14:paraId="AB000000">
            <w:pPr>
              <w:rPr>
                <w:rFonts w:ascii="Times New Roman" w:hAnsi="Times New Roman"/>
                <w:color w:val="1F1D26"/>
              </w:rPr>
            </w:pPr>
          </w:p>
          <w:p w14:paraId="AC000000">
            <w:pPr>
              <w:rPr>
                <w:rFonts w:ascii="Times New Roman" w:hAnsi="Times New Roman"/>
                <w:color w:val="1F1D26"/>
              </w:rPr>
            </w:pPr>
          </w:p>
          <w:p w14:paraId="AD000000">
            <w:pPr>
              <w:rPr>
                <w:rFonts w:ascii="Times New Roman" w:hAnsi="Times New Roman"/>
                <w:color w:val="1F1D26"/>
              </w:rPr>
            </w:pPr>
          </w:p>
          <w:p w14:paraId="AE000000">
            <w:pPr>
              <w:rPr>
                <w:rFonts w:ascii="Times New Roman" w:hAnsi="Times New Roman"/>
                <w:color w:val="1F1D26"/>
              </w:rPr>
            </w:pPr>
          </w:p>
          <w:p w14:paraId="AF000000">
            <w:pPr>
              <w:rPr>
                <w:rFonts w:ascii="Times New Roman" w:hAnsi="Times New Roman"/>
                <w:color w:val="1F1D26"/>
              </w:rPr>
            </w:pPr>
          </w:p>
          <w:p w14:paraId="B0000000">
            <w:pPr>
              <w:rPr>
                <w:rFonts w:ascii="Times New Roman" w:hAnsi="Times New Roman"/>
                <w:color w:val="1F1D26"/>
              </w:rPr>
            </w:pPr>
          </w:p>
          <w:p w14:paraId="B1000000">
            <w:pPr>
              <w:rPr>
                <w:rFonts w:ascii="Times New Roman" w:hAnsi="Times New Roman"/>
                <w:color w:val="1F1D26"/>
              </w:rPr>
            </w:pPr>
          </w:p>
          <w:p w14:paraId="B2000000">
            <w:pPr>
              <w:rPr>
                <w:rFonts w:ascii="Times New Roman" w:hAnsi="Times New Roman"/>
                <w:color w:val="1F1D26"/>
              </w:rPr>
            </w:pPr>
          </w:p>
          <w:p w14:paraId="B3000000">
            <w:pPr>
              <w:rPr>
                <w:rFonts w:ascii="Times New Roman" w:hAnsi="Times New Roman"/>
                <w:color w:val="1F1D26"/>
              </w:rPr>
            </w:pPr>
          </w:p>
          <w:p w14:paraId="B4000000">
            <w:pPr>
              <w:rPr>
                <w:rFonts w:ascii="Times New Roman" w:hAnsi="Times New Roman"/>
                <w:color w:val="1F1D26"/>
              </w:rPr>
            </w:pPr>
          </w:p>
          <w:p w14:paraId="B5000000">
            <w:pPr>
              <w:rPr>
                <w:rFonts w:ascii="Times New Roman" w:hAnsi="Times New Roman"/>
                <w:color w:val="1F1D26"/>
              </w:rPr>
            </w:pPr>
          </w:p>
          <w:p w14:paraId="B6000000">
            <w:pPr>
              <w:rPr>
                <w:rFonts w:ascii="Times New Roman" w:hAnsi="Times New Roman"/>
                <w:color w:val="1F1D26"/>
              </w:rPr>
            </w:pPr>
          </w:p>
          <w:p w14:paraId="B7000000">
            <w:pPr>
              <w:rPr>
                <w:rFonts w:ascii="Times New Roman" w:hAnsi="Times New Roman"/>
                <w:color w:val="1F1D26"/>
              </w:rPr>
            </w:pPr>
          </w:p>
          <w:p w14:paraId="B8000000">
            <w:pPr>
              <w:rPr>
                <w:rFonts w:ascii="Times New Roman" w:hAnsi="Times New Roman"/>
                <w:color w:val="1F1D26"/>
              </w:rPr>
            </w:pPr>
          </w:p>
          <w:p w14:paraId="B9000000">
            <w:pPr>
              <w:rPr>
                <w:rFonts w:ascii="Times New Roman" w:hAnsi="Times New Roman"/>
                <w:color w:val="1F1D26"/>
              </w:rPr>
            </w:pPr>
          </w:p>
          <w:p w14:paraId="BA000000">
            <w:pPr>
              <w:rPr>
                <w:rFonts w:ascii="Times New Roman" w:hAnsi="Times New Roman"/>
                <w:color w:val="1F1D26"/>
              </w:rPr>
            </w:pPr>
          </w:p>
          <w:p w14:paraId="BB000000">
            <w:pPr>
              <w:rPr>
                <w:rFonts w:ascii="Times New Roman" w:hAnsi="Times New Roman"/>
                <w:color w:val="1F1D26"/>
              </w:rPr>
            </w:pPr>
          </w:p>
          <w:p w14:paraId="BC000000">
            <w:pPr>
              <w:rPr>
                <w:rFonts w:ascii="Times New Roman" w:hAnsi="Times New Roman"/>
                <w:color w:val="1F1D26"/>
              </w:rPr>
            </w:pPr>
          </w:p>
          <w:p w14:paraId="BD000000">
            <w:pPr>
              <w:rPr>
                <w:rFonts w:ascii="Times New Roman" w:hAnsi="Times New Roman"/>
                <w:color w:val="1F1D26"/>
              </w:rPr>
            </w:pPr>
          </w:p>
          <w:p w14:paraId="BE000000">
            <w:pPr>
              <w:rPr>
                <w:rFonts w:ascii="Times New Roman" w:hAnsi="Times New Roman"/>
                <w:color w:val="1F1D26"/>
              </w:rPr>
            </w:pPr>
          </w:p>
          <w:p w14:paraId="BF000000">
            <w:pPr>
              <w:rPr>
                <w:rFonts w:ascii="Times New Roman" w:hAnsi="Times New Roman"/>
                <w:color w:val="1F1D26"/>
              </w:rPr>
            </w:pPr>
          </w:p>
          <w:p w14:paraId="C0000000">
            <w:pPr>
              <w:rPr>
                <w:rFonts w:ascii="Times New Roman" w:hAnsi="Times New Roman"/>
                <w:color w:val="1F1D26"/>
              </w:rPr>
            </w:pPr>
          </w:p>
          <w:p w14:paraId="C1000000">
            <w:pPr>
              <w:rPr>
                <w:rFonts w:ascii="Times New Roman" w:hAnsi="Times New Roman"/>
                <w:color w:val="1F1D26"/>
              </w:rPr>
            </w:pPr>
          </w:p>
          <w:p w14:paraId="C2000000">
            <w:pPr>
              <w:rPr>
                <w:rFonts w:ascii="Times New Roman" w:hAnsi="Times New Roman"/>
                <w:color w:val="1F1D26"/>
              </w:rPr>
            </w:pPr>
          </w:p>
          <w:p w14:paraId="C3000000">
            <w:pPr>
              <w:rPr>
                <w:rFonts w:ascii="Times New Roman" w:hAnsi="Times New Roman"/>
                <w:color w:val="1F1D26"/>
              </w:rPr>
            </w:pPr>
          </w:p>
          <w:p w14:paraId="C4000000">
            <w:pPr>
              <w:rPr>
                <w:rFonts w:ascii="Times New Roman" w:hAnsi="Times New Roman"/>
                <w:color w:val="1F1D26"/>
              </w:rPr>
            </w:pPr>
          </w:p>
          <w:p w14:paraId="C5000000">
            <w:pPr>
              <w:rPr>
                <w:rFonts w:ascii="Times New Roman" w:hAnsi="Times New Roman"/>
                <w:color w:val="1F1D26"/>
              </w:rPr>
            </w:pPr>
          </w:p>
          <w:p w14:paraId="C6000000">
            <w:pPr>
              <w:rPr>
                <w:rFonts w:ascii="Times New Roman" w:hAnsi="Times New Roman"/>
                <w:color w:val="1F1D26"/>
              </w:rPr>
            </w:pPr>
          </w:p>
          <w:p w14:paraId="C7000000">
            <w:pPr>
              <w:rPr>
                <w:rFonts w:ascii="Times New Roman" w:hAnsi="Times New Roman"/>
                <w:color w:val="1F1D26"/>
              </w:rPr>
            </w:pPr>
          </w:p>
          <w:p w14:paraId="C8000000">
            <w:pPr>
              <w:rPr>
                <w:rFonts w:ascii="Times New Roman" w:hAnsi="Times New Roman"/>
                <w:color w:val="1F1D26"/>
              </w:rPr>
            </w:pPr>
          </w:p>
          <w:p w14:paraId="C9000000">
            <w:pPr>
              <w:rPr>
                <w:rFonts w:ascii="Times New Roman" w:hAnsi="Times New Roman"/>
                <w:color w:val="1F1D26"/>
              </w:rPr>
            </w:pPr>
          </w:p>
          <w:p w14:paraId="CA000000">
            <w:pPr>
              <w:rPr>
                <w:rFonts w:ascii="Times New Roman" w:hAnsi="Times New Roman"/>
                <w:color w:val="1F1D26"/>
              </w:rPr>
            </w:pPr>
          </w:p>
          <w:p w14:paraId="CB000000">
            <w:pPr>
              <w:rPr>
                <w:rFonts w:ascii="Times New Roman" w:hAnsi="Times New Roman"/>
                <w:color w:val="1F1D26"/>
              </w:rPr>
            </w:pPr>
          </w:p>
          <w:p w14:paraId="CC000000">
            <w:pPr>
              <w:rPr>
                <w:rFonts w:ascii="Times New Roman" w:hAnsi="Times New Roman"/>
                <w:color w:val="1F1D26"/>
              </w:rPr>
            </w:pPr>
          </w:p>
          <w:p w14:paraId="CD000000">
            <w:pPr>
              <w:rPr>
                <w:rFonts w:ascii="Times New Roman" w:hAnsi="Times New Roman"/>
                <w:color w:val="1F1D26"/>
              </w:rPr>
            </w:pPr>
          </w:p>
          <w:p w14:paraId="CE000000">
            <w:pPr>
              <w:rPr>
                <w:rFonts w:ascii="Times New Roman" w:hAnsi="Times New Roman"/>
                <w:color w:val="1F1D26"/>
              </w:rPr>
            </w:pPr>
          </w:p>
          <w:p w14:paraId="CF000000">
            <w:pPr>
              <w:rPr>
                <w:rFonts w:ascii="Times New Roman" w:hAnsi="Times New Roman"/>
                <w:color w:val="1F1D26"/>
              </w:rPr>
            </w:pPr>
          </w:p>
          <w:p w14:paraId="D0000000">
            <w:pPr>
              <w:rPr>
                <w:rFonts w:ascii="Times New Roman" w:hAnsi="Times New Roman"/>
                <w:color w:val="1F1D26"/>
              </w:rPr>
            </w:pPr>
          </w:p>
          <w:p w14:paraId="D1000000">
            <w:pPr>
              <w:rPr>
                <w:rFonts w:ascii="Times New Roman" w:hAnsi="Times New Roman"/>
                <w:color w:val="1F1D26"/>
              </w:rPr>
            </w:pPr>
          </w:p>
          <w:p w14:paraId="D2000000">
            <w:pPr>
              <w:rPr>
                <w:rFonts w:ascii="Times New Roman" w:hAnsi="Times New Roman"/>
                <w:color w:val="1F1D26"/>
              </w:rPr>
            </w:pPr>
          </w:p>
          <w:p w14:paraId="D3000000">
            <w:pPr>
              <w:rPr>
                <w:rFonts w:ascii="Times New Roman" w:hAnsi="Times New Roman"/>
                <w:color w:val="1F1D26"/>
              </w:rPr>
            </w:pPr>
          </w:p>
          <w:p w14:paraId="D4000000">
            <w:pPr>
              <w:rPr>
                <w:rFonts w:ascii="Times New Roman" w:hAnsi="Times New Roman"/>
                <w:color w:val="1F1D26"/>
              </w:rPr>
            </w:pPr>
          </w:p>
          <w:p w14:paraId="D5000000">
            <w:pPr>
              <w:rPr>
                <w:rFonts w:ascii="Times New Roman" w:hAnsi="Times New Roman"/>
                <w:color w:val="1F1D26"/>
              </w:rPr>
            </w:pPr>
          </w:p>
          <w:p w14:paraId="D6000000">
            <w:pPr>
              <w:rPr>
                <w:rFonts w:ascii="Times New Roman" w:hAnsi="Times New Roman"/>
                <w:color w:val="1F1D26"/>
              </w:rPr>
            </w:pPr>
          </w:p>
          <w:p w14:paraId="D7000000">
            <w:pPr>
              <w:rPr>
                <w:rFonts w:ascii="Times New Roman" w:hAnsi="Times New Roman"/>
                <w:color w:val="1F1D26"/>
              </w:rPr>
            </w:pPr>
          </w:p>
          <w:p w14:paraId="D8000000">
            <w:pPr>
              <w:rPr>
                <w:rFonts w:ascii="Times New Roman" w:hAnsi="Times New Roman"/>
                <w:color w:val="1F1D26"/>
              </w:rPr>
            </w:pPr>
          </w:p>
          <w:p w14:paraId="D9000000">
            <w:pPr>
              <w:rPr>
                <w:rFonts w:ascii="Times New Roman" w:hAnsi="Times New Roman"/>
                <w:color w:val="1F1D26"/>
              </w:rPr>
            </w:pPr>
          </w:p>
          <w:p w14:paraId="DA000000">
            <w:pPr>
              <w:rPr>
                <w:rFonts w:ascii="Times New Roman" w:hAnsi="Times New Roman"/>
                <w:color w:val="1F1D26"/>
              </w:rPr>
            </w:pPr>
          </w:p>
          <w:p w14:paraId="DB000000">
            <w:pPr>
              <w:rPr>
                <w:rFonts w:ascii="Times New Roman" w:hAnsi="Times New Roman"/>
                <w:color w:val="1F1D26"/>
              </w:rPr>
            </w:pPr>
          </w:p>
          <w:p w14:paraId="DC000000">
            <w:pPr>
              <w:rPr>
                <w:rFonts w:ascii="Times New Roman" w:hAnsi="Times New Roman"/>
                <w:color w:val="1F1D26"/>
              </w:rPr>
            </w:pPr>
          </w:p>
          <w:p w14:paraId="DD000000">
            <w:pPr>
              <w:rPr>
                <w:rFonts w:ascii="Times New Roman" w:hAnsi="Times New Roman"/>
                <w:color w:val="1F1D26"/>
              </w:rPr>
            </w:pPr>
          </w:p>
          <w:p w14:paraId="DE000000">
            <w:pPr>
              <w:rPr>
                <w:rFonts w:ascii="Times New Roman" w:hAnsi="Times New Roman"/>
                <w:color w:val="1F1D26"/>
              </w:rPr>
            </w:pPr>
          </w:p>
          <w:p w14:paraId="DF000000">
            <w:pPr>
              <w:rPr>
                <w:rFonts w:ascii="Times New Roman" w:hAnsi="Times New Roman"/>
                <w:color w:val="1F1D26"/>
              </w:rPr>
            </w:pPr>
          </w:p>
          <w:p w14:paraId="E0000000">
            <w:pPr>
              <w:rPr>
                <w:rFonts w:ascii="Times New Roman" w:hAnsi="Times New Roman"/>
                <w:color w:val="1F1D26"/>
              </w:rPr>
            </w:pPr>
          </w:p>
          <w:p w14:paraId="E1000000">
            <w:pPr>
              <w:rPr>
                <w:rFonts w:ascii="Times New Roman" w:hAnsi="Times New Roman"/>
                <w:color w:val="1F1D26"/>
              </w:rPr>
            </w:pPr>
          </w:p>
          <w:p w14:paraId="E2000000">
            <w:pPr>
              <w:rPr>
                <w:rFonts w:ascii="Times New Roman" w:hAnsi="Times New Roman"/>
                <w:color w:val="1F1D26"/>
              </w:rPr>
            </w:pPr>
          </w:p>
          <w:p w14:paraId="E3000000">
            <w:pPr>
              <w:rPr>
                <w:rFonts w:ascii="Times New Roman" w:hAnsi="Times New Roman"/>
                <w:color w:val="1F1D26"/>
              </w:rPr>
            </w:pPr>
          </w:p>
          <w:p w14:paraId="E4000000">
            <w:pPr>
              <w:rPr>
                <w:rFonts w:ascii="Times New Roman" w:hAnsi="Times New Roman"/>
                <w:color w:val="1F1D26"/>
              </w:rPr>
            </w:pPr>
          </w:p>
          <w:p w14:paraId="E5000000">
            <w:pPr>
              <w:rPr>
                <w:rFonts w:ascii="Times New Roman" w:hAnsi="Times New Roman"/>
                <w:color w:val="1F1D26"/>
              </w:rPr>
            </w:pPr>
          </w:p>
          <w:p w14:paraId="E6000000">
            <w:pPr>
              <w:rPr>
                <w:rFonts w:ascii="Times New Roman" w:hAnsi="Times New Roman"/>
                <w:color w:val="1F1D26"/>
              </w:rPr>
            </w:pPr>
          </w:p>
          <w:p w14:paraId="E7000000">
            <w:pPr>
              <w:rPr>
                <w:rFonts w:ascii="Times New Roman" w:hAnsi="Times New Roman"/>
                <w:color w:val="1F1D26"/>
              </w:rPr>
            </w:pPr>
          </w:p>
          <w:p w14:paraId="E8000000">
            <w:pPr>
              <w:rPr>
                <w:rFonts w:ascii="Times New Roman" w:hAnsi="Times New Roman"/>
                <w:color w:val="1F1D26"/>
              </w:rPr>
            </w:pPr>
          </w:p>
          <w:p w14:paraId="E9000000">
            <w:pPr>
              <w:rPr>
                <w:rFonts w:ascii="Times New Roman" w:hAnsi="Times New Roman"/>
                <w:color w:val="1F1D26"/>
              </w:rPr>
            </w:pPr>
          </w:p>
          <w:p w14:paraId="EA000000">
            <w:pPr>
              <w:rPr>
                <w:rFonts w:ascii="Times New Roman" w:hAnsi="Times New Roman"/>
                <w:color w:val="1F1D26"/>
              </w:rPr>
            </w:pPr>
          </w:p>
          <w:p w14:paraId="EB000000">
            <w:pPr>
              <w:rPr>
                <w:rFonts w:ascii="Times New Roman" w:hAnsi="Times New Roman"/>
                <w:color w:val="1F1D26"/>
              </w:rPr>
            </w:pPr>
          </w:p>
          <w:p w14:paraId="EC000000">
            <w:pPr>
              <w:rPr>
                <w:rFonts w:ascii="Times New Roman" w:hAnsi="Times New Roman"/>
                <w:color w:val="1F1D26"/>
              </w:rPr>
            </w:pPr>
          </w:p>
          <w:p w14:paraId="ED000000">
            <w:pPr>
              <w:rPr>
                <w:rFonts w:ascii="Times New Roman" w:hAnsi="Times New Roman"/>
                <w:color w:val="1F1D26"/>
              </w:rPr>
            </w:pPr>
          </w:p>
          <w:p w14:paraId="EE000000">
            <w:pPr>
              <w:rPr>
                <w:rFonts w:ascii="Times New Roman" w:hAnsi="Times New Roman"/>
                <w:color w:val="1F1D26"/>
              </w:rPr>
            </w:pPr>
          </w:p>
          <w:p w14:paraId="EF000000">
            <w:pPr>
              <w:rPr>
                <w:rFonts w:ascii="Times New Roman" w:hAnsi="Times New Roman"/>
                <w:color w:val="1F1D26"/>
              </w:rPr>
            </w:pPr>
          </w:p>
          <w:p w14:paraId="F0000000">
            <w:pPr>
              <w:rPr>
                <w:rFonts w:ascii="Times New Roman" w:hAnsi="Times New Roman"/>
                <w:color w:val="1F1D26"/>
              </w:rPr>
            </w:pPr>
          </w:p>
          <w:p w14:paraId="F100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не реже 1 раза в квартал</w:t>
            </w:r>
          </w:p>
        </w:tc>
        <w:tc>
          <w:tcPr>
            <w:tcW w:type="dxa" w:w="2032"/>
            <w:gridSpan w:val="2"/>
          </w:tcPr>
          <w:p w14:paraId="F200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Повышение</w:t>
            </w:r>
          </w:p>
          <w:p w14:paraId="F300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правовой</w:t>
            </w:r>
          </w:p>
          <w:p w14:paraId="F400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грамотности подконтрольных субъектов</w:t>
            </w:r>
          </w:p>
        </w:tc>
        <w:tc>
          <w:tcPr>
            <w:tcW w:type="dxa" w:w="1701"/>
          </w:tcPr>
          <w:p w14:paraId="F500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Отдел организационно-правового обеспечения и контроля Министерства</w:t>
            </w:r>
          </w:p>
          <w:p w14:paraId="F6000000">
            <w:pPr>
              <w:rPr>
                <w:rFonts w:ascii="Times New Roman" w:hAnsi="Times New Roman"/>
                <w:color w:val="1F1D26"/>
              </w:rPr>
            </w:pPr>
          </w:p>
          <w:p w14:paraId="F7000000">
            <w:pPr>
              <w:rPr>
                <w:rFonts w:ascii="Times New Roman" w:hAnsi="Times New Roman"/>
                <w:color w:val="1F1D26"/>
              </w:rPr>
            </w:pPr>
          </w:p>
          <w:p w14:paraId="F8000000">
            <w:pPr>
              <w:rPr>
                <w:rFonts w:ascii="Times New Roman" w:hAnsi="Times New Roman"/>
                <w:color w:val="1F1D26"/>
              </w:rPr>
            </w:pPr>
          </w:p>
          <w:p w14:paraId="F9000000">
            <w:pPr>
              <w:rPr>
                <w:rFonts w:ascii="Times New Roman" w:hAnsi="Times New Roman"/>
                <w:color w:val="1F1D26"/>
              </w:rPr>
            </w:pPr>
          </w:p>
          <w:p w14:paraId="FA000000">
            <w:pPr>
              <w:rPr>
                <w:rFonts w:ascii="Times New Roman" w:hAnsi="Times New Roman"/>
                <w:color w:val="1F1D26"/>
              </w:rPr>
            </w:pPr>
          </w:p>
          <w:p w14:paraId="FB000000">
            <w:pPr>
              <w:rPr>
                <w:rFonts w:ascii="Times New Roman" w:hAnsi="Times New Roman"/>
                <w:color w:val="1F1D26"/>
              </w:rPr>
            </w:pPr>
          </w:p>
          <w:p w14:paraId="FC000000">
            <w:pPr>
              <w:rPr>
                <w:rFonts w:ascii="Times New Roman" w:hAnsi="Times New Roman"/>
                <w:color w:val="1F1D26"/>
              </w:rPr>
            </w:pPr>
          </w:p>
          <w:p w14:paraId="FD000000">
            <w:pPr>
              <w:rPr>
                <w:rFonts w:ascii="Times New Roman" w:hAnsi="Times New Roman"/>
                <w:color w:val="1F1D26"/>
              </w:rPr>
            </w:pPr>
          </w:p>
          <w:p w14:paraId="FE000000">
            <w:pPr>
              <w:rPr>
                <w:rFonts w:ascii="Times New Roman" w:hAnsi="Times New Roman"/>
                <w:color w:val="1F1D26"/>
              </w:rPr>
            </w:pPr>
          </w:p>
          <w:p w14:paraId="FF000000">
            <w:pPr>
              <w:rPr>
                <w:rFonts w:ascii="Times New Roman" w:hAnsi="Times New Roman"/>
                <w:color w:val="1F1D26"/>
              </w:rPr>
            </w:pPr>
          </w:p>
          <w:p w14:paraId="00010000">
            <w:pPr>
              <w:rPr>
                <w:rFonts w:ascii="Times New Roman" w:hAnsi="Times New Roman"/>
                <w:color w:val="1F1D26"/>
              </w:rPr>
            </w:pPr>
          </w:p>
          <w:p w14:paraId="01010000">
            <w:pPr>
              <w:rPr>
                <w:rFonts w:ascii="Times New Roman" w:hAnsi="Times New Roman"/>
                <w:color w:val="1F1D26"/>
              </w:rPr>
            </w:pPr>
          </w:p>
          <w:p w14:paraId="02010000">
            <w:pPr>
              <w:rPr>
                <w:rFonts w:ascii="Times New Roman" w:hAnsi="Times New Roman"/>
                <w:color w:val="1F1D26"/>
              </w:rPr>
            </w:pPr>
          </w:p>
          <w:p w14:paraId="03010000">
            <w:pPr>
              <w:rPr>
                <w:rFonts w:ascii="Times New Roman" w:hAnsi="Times New Roman"/>
                <w:color w:val="1F1D26"/>
              </w:rPr>
            </w:pPr>
          </w:p>
          <w:p w14:paraId="04010000">
            <w:pPr>
              <w:rPr>
                <w:rFonts w:ascii="Times New Roman" w:hAnsi="Times New Roman"/>
                <w:color w:val="1F1D26"/>
              </w:rPr>
            </w:pPr>
          </w:p>
          <w:p w14:paraId="05010000">
            <w:pPr>
              <w:rPr>
                <w:rFonts w:ascii="Times New Roman" w:hAnsi="Times New Roman"/>
                <w:color w:val="1F1D26"/>
              </w:rPr>
            </w:pPr>
          </w:p>
          <w:p w14:paraId="06010000">
            <w:pPr>
              <w:rPr>
                <w:rFonts w:ascii="Times New Roman" w:hAnsi="Times New Roman"/>
                <w:color w:val="1F1D26"/>
              </w:rPr>
            </w:pPr>
          </w:p>
          <w:p w14:paraId="07010000">
            <w:pPr>
              <w:rPr>
                <w:rFonts w:ascii="Times New Roman" w:hAnsi="Times New Roman"/>
                <w:color w:val="1F1D26"/>
              </w:rPr>
            </w:pPr>
          </w:p>
          <w:p w14:paraId="08010000">
            <w:pPr>
              <w:rPr>
                <w:rFonts w:ascii="Times New Roman" w:hAnsi="Times New Roman"/>
                <w:color w:val="1F1D26"/>
              </w:rPr>
            </w:pPr>
          </w:p>
          <w:p w14:paraId="09010000">
            <w:pPr>
              <w:rPr>
                <w:rFonts w:ascii="Times New Roman" w:hAnsi="Times New Roman"/>
                <w:color w:val="1F1D26"/>
              </w:rPr>
            </w:pPr>
          </w:p>
          <w:p w14:paraId="0A010000">
            <w:pPr>
              <w:rPr>
                <w:rFonts w:ascii="Times New Roman" w:hAnsi="Times New Roman"/>
                <w:color w:val="1F1D26"/>
              </w:rPr>
            </w:pPr>
          </w:p>
          <w:p w14:paraId="0B010000">
            <w:pPr>
              <w:rPr>
                <w:rFonts w:ascii="Times New Roman" w:hAnsi="Times New Roman"/>
                <w:color w:val="1F1D26"/>
              </w:rPr>
            </w:pPr>
          </w:p>
          <w:p w14:paraId="0C010000">
            <w:pPr>
              <w:rPr>
                <w:rFonts w:ascii="Times New Roman" w:hAnsi="Times New Roman"/>
                <w:color w:val="1F1D26"/>
              </w:rPr>
            </w:pPr>
          </w:p>
          <w:p w14:paraId="0D010000">
            <w:pPr>
              <w:rPr>
                <w:rFonts w:ascii="Times New Roman" w:hAnsi="Times New Roman"/>
                <w:color w:val="1F1D26"/>
              </w:rPr>
            </w:pPr>
          </w:p>
          <w:p w14:paraId="0E010000">
            <w:pPr>
              <w:rPr>
                <w:rFonts w:ascii="Times New Roman" w:hAnsi="Times New Roman"/>
                <w:color w:val="1F1D26"/>
              </w:rPr>
            </w:pPr>
          </w:p>
          <w:p w14:paraId="0F010000">
            <w:pPr>
              <w:rPr>
                <w:rFonts w:ascii="Times New Roman" w:hAnsi="Times New Roman"/>
                <w:color w:val="1F1D26"/>
              </w:rPr>
            </w:pPr>
          </w:p>
          <w:p w14:paraId="10010000">
            <w:pPr>
              <w:rPr>
                <w:rFonts w:ascii="Times New Roman" w:hAnsi="Times New Roman"/>
                <w:color w:val="1F1D26"/>
              </w:rPr>
            </w:pPr>
          </w:p>
          <w:p w14:paraId="11010000">
            <w:pPr>
              <w:rPr>
                <w:rFonts w:ascii="Times New Roman" w:hAnsi="Times New Roman"/>
                <w:color w:val="1F1D26"/>
              </w:rPr>
            </w:pPr>
          </w:p>
          <w:p w14:paraId="12010000">
            <w:pPr>
              <w:rPr>
                <w:rFonts w:ascii="Times New Roman" w:hAnsi="Times New Roman"/>
                <w:color w:val="1F1D26"/>
              </w:rPr>
            </w:pPr>
          </w:p>
          <w:p w14:paraId="13010000">
            <w:pPr>
              <w:rPr>
                <w:rFonts w:ascii="Times New Roman" w:hAnsi="Times New Roman"/>
                <w:color w:val="1F1D26"/>
              </w:rPr>
            </w:pPr>
          </w:p>
          <w:p w14:paraId="14010000">
            <w:pPr>
              <w:rPr>
                <w:rFonts w:ascii="Times New Roman" w:hAnsi="Times New Roman"/>
                <w:color w:val="1F1D26"/>
              </w:rPr>
            </w:pPr>
          </w:p>
          <w:p w14:paraId="15010000">
            <w:pPr>
              <w:rPr>
                <w:rFonts w:ascii="Times New Roman" w:hAnsi="Times New Roman"/>
                <w:color w:val="1F1D26"/>
              </w:rPr>
            </w:pPr>
          </w:p>
          <w:p w14:paraId="16010000">
            <w:pPr>
              <w:rPr>
                <w:rFonts w:ascii="Times New Roman" w:hAnsi="Times New Roman"/>
                <w:color w:val="1F1D26"/>
              </w:rPr>
            </w:pPr>
          </w:p>
          <w:p w14:paraId="17010000">
            <w:pPr>
              <w:rPr>
                <w:rFonts w:ascii="Times New Roman" w:hAnsi="Times New Roman"/>
                <w:color w:val="1F1D26"/>
              </w:rPr>
            </w:pPr>
          </w:p>
          <w:p w14:paraId="18010000">
            <w:pPr>
              <w:rPr>
                <w:rFonts w:ascii="Times New Roman" w:hAnsi="Times New Roman"/>
                <w:color w:val="1F1D26"/>
              </w:rPr>
            </w:pPr>
          </w:p>
          <w:p w14:paraId="19010000">
            <w:pPr>
              <w:rPr>
                <w:rFonts w:ascii="Times New Roman" w:hAnsi="Times New Roman"/>
                <w:color w:val="1F1D26"/>
              </w:rPr>
            </w:pPr>
          </w:p>
          <w:p w14:paraId="1A010000">
            <w:pPr>
              <w:rPr>
                <w:rFonts w:ascii="Times New Roman" w:hAnsi="Times New Roman"/>
                <w:color w:val="1F1D26"/>
              </w:rPr>
            </w:pPr>
          </w:p>
          <w:p w14:paraId="1B010000">
            <w:pPr>
              <w:rPr>
                <w:rFonts w:ascii="Times New Roman" w:hAnsi="Times New Roman"/>
                <w:color w:val="1F1D26"/>
              </w:rPr>
            </w:pPr>
          </w:p>
          <w:p w14:paraId="1C010000">
            <w:pPr>
              <w:rPr>
                <w:rFonts w:ascii="Times New Roman" w:hAnsi="Times New Roman"/>
                <w:color w:val="1F1D26"/>
              </w:rPr>
            </w:pPr>
          </w:p>
          <w:p w14:paraId="1D010000">
            <w:pPr>
              <w:rPr>
                <w:rFonts w:ascii="Times New Roman" w:hAnsi="Times New Roman"/>
                <w:color w:val="1F1D26"/>
              </w:rPr>
            </w:pPr>
          </w:p>
          <w:p w14:paraId="1E010000">
            <w:pPr>
              <w:rPr>
                <w:rFonts w:ascii="Times New Roman" w:hAnsi="Times New Roman"/>
                <w:color w:val="1F1D26"/>
              </w:rPr>
            </w:pPr>
          </w:p>
          <w:p w14:paraId="1F010000">
            <w:pPr>
              <w:rPr>
                <w:rFonts w:ascii="Times New Roman" w:hAnsi="Times New Roman"/>
                <w:color w:val="1F1D26"/>
              </w:rPr>
            </w:pPr>
          </w:p>
          <w:p w14:paraId="20010000">
            <w:pPr>
              <w:rPr>
                <w:rFonts w:ascii="Times New Roman" w:hAnsi="Times New Roman"/>
                <w:color w:val="1F1D26"/>
              </w:rPr>
            </w:pPr>
          </w:p>
          <w:p w14:paraId="21010000">
            <w:pPr>
              <w:rPr>
                <w:rFonts w:ascii="Times New Roman" w:hAnsi="Times New Roman"/>
                <w:color w:val="1F1D26"/>
              </w:rPr>
            </w:pPr>
          </w:p>
          <w:p w14:paraId="22010000">
            <w:pPr>
              <w:rPr>
                <w:rFonts w:ascii="Times New Roman" w:hAnsi="Times New Roman"/>
                <w:color w:val="1F1D26"/>
              </w:rPr>
            </w:pPr>
          </w:p>
          <w:p w14:paraId="23010000">
            <w:pPr>
              <w:rPr>
                <w:rFonts w:ascii="Times New Roman" w:hAnsi="Times New Roman"/>
                <w:color w:val="1F1D26"/>
              </w:rPr>
            </w:pPr>
          </w:p>
          <w:p w14:paraId="24010000">
            <w:pPr>
              <w:rPr>
                <w:rFonts w:ascii="Times New Roman" w:hAnsi="Times New Roman"/>
                <w:color w:val="1F1D26"/>
              </w:rPr>
            </w:pPr>
          </w:p>
          <w:p w14:paraId="25010000">
            <w:pPr>
              <w:rPr>
                <w:rFonts w:ascii="Times New Roman" w:hAnsi="Times New Roman"/>
                <w:color w:val="1F1D26"/>
              </w:rPr>
            </w:pPr>
          </w:p>
          <w:p w14:paraId="26010000">
            <w:pPr>
              <w:rPr>
                <w:rFonts w:ascii="Times New Roman" w:hAnsi="Times New Roman"/>
                <w:color w:val="1F1D26"/>
              </w:rPr>
            </w:pPr>
          </w:p>
          <w:p w14:paraId="27010000">
            <w:pPr>
              <w:rPr>
                <w:rFonts w:ascii="Times New Roman" w:hAnsi="Times New Roman"/>
                <w:color w:val="1F1D26"/>
              </w:rPr>
            </w:pPr>
          </w:p>
          <w:p w14:paraId="28010000">
            <w:pPr>
              <w:rPr>
                <w:rFonts w:ascii="Times New Roman" w:hAnsi="Times New Roman"/>
                <w:color w:val="1F1D26"/>
              </w:rPr>
            </w:pPr>
          </w:p>
          <w:p w14:paraId="29010000">
            <w:pPr>
              <w:rPr>
                <w:rFonts w:ascii="Times New Roman" w:hAnsi="Times New Roman"/>
                <w:color w:val="1F1D26"/>
              </w:rPr>
            </w:pPr>
          </w:p>
          <w:p w14:paraId="2A010000">
            <w:pPr>
              <w:rPr>
                <w:rFonts w:ascii="Times New Roman" w:hAnsi="Times New Roman"/>
                <w:color w:val="1F1D26"/>
              </w:rPr>
            </w:pPr>
          </w:p>
          <w:p w14:paraId="2B010000">
            <w:pPr>
              <w:rPr>
                <w:rFonts w:ascii="Times New Roman" w:hAnsi="Times New Roman"/>
                <w:color w:val="1F1D26"/>
              </w:rPr>
            </w:pPr>
          </w:p>
          <w:p w14:paraId="2C010000">
            <w:pPr>
              <w:rPr>
                <w:rFonts w:ascii="Times New Roman" w:hAnsi="Times New Roman"/>
                <w:color w:val="1F1D26"/>
              </w:rPr>
            </w:pPr>
          </w:p>
          <w:p w14:paraId="2D010000">
            <w:pPr>
              <w:rPr>
                <w:rFonts w:ascii="Times New Roman" w:hAnsi="Times New Roman"/>
                <w:color w:val="1F1D26"/>
              </w:rPr>
            </w:pPr>
          </w:p>
          <w:p w14:paraId="2E010000">
            <w:pPr>
              <w:rPr>
                <w:rFonts w:ascii="Times New Roman" w:hAnsi="Times New Roman"/>
                <w:color w:val="1F1D26"/>
              </w:rPr>
            </w:pPr>
          </w:p>
          <w:p w14:paraId="2F010000">
            <w:pPr>
              <w:rPr>
                <w:rFonts w:ascii="Times New Roman" w:hAnsi="Times New Roman"/>
                <w:color w:val="1F1D26"/>
              </w:rPr>
            </w:pPr>
          </w:p>
          <w:p w14:paraId="30010000">
            <w:pPr>
              <w:rPr>
                <w:rFonts w:ascii="Times New Roman" w:hAnsi="Times New Roman"/>
                <w:color w:val="1F1D26"/>
              </w:rPr>
            </w:pPr>
          </w:p>
          <w:p w14:paraId="31010000">
            <w:pPr>
              <w:rPr>
                <w:rFonts w:ascii="Times New Roman" w:hAnsi="Times New Roman"/>
                <w:color w:val="1F1D26"/>
              </w:rPr>
            </w:pPr>
          </w:p>
          <w:p w14:paraId="32010000">
            <w:pPr>
              <w:rPr>
                <w:rFonts w:ascii="Times New Roman" w:hAnsi="Times New Roman"/>
                <w:color w:val="1F1D26"/>
              </w:rPr>
            </w:pPr>
          </w:p>
          <w:p w14:paraId="33010000">
            <w:pPr>
              <w:rPr>
                <w:rFonts w:ascii="Times New Roman" w:hAnsi="Times New Roman"/>
                <w:color w:val="1F1D26"/>
              </w:rPr>
            </w:pPr>
          </w:p>
          <w:p w14:paraId="34010000">
            <w:pPr>
              <w:rPr>
                <w:rFonts w:ascii="Times New Roman" w:hAnsi="Times New Roman"/>
                <w:color w:val="1F1D26"/>
              </w:rPr>
            </w:pPr>
          </w:p>
          <w:p w14:paraId="35010000">
            <w:pPr>
              <w:rPr>
                <w:rFonts w:ascii="Times New Roman" w:hAnsi="Times New Roman"/>
                <w:color w:val="1F1D26"/>
              </w:rPr>
            </w:pPr>
          </w:p>
          <w:p w14:paraId="36010000">
            <w:pPr>
              <w:rPr>
                <w:rFonts w:ascii="Times New Roman" w:hAnsi="Times New Roman"/>
                <w:color w:val="1F1D26"/>
              </w:rPr>
            </w:pPr>
          </w:p>
          <w:p w14:paraId="37010000">
            <w:pPr>
              <w:rPr>
                <w:rFonts w:ascii="Times New Roman" w:hAnsi="Times New Roman"/>
                <w:color w:val="1F1D26"/>
              </w:rPr>
            </w:pPr>
          </w:p>
          <w:p w14:paraId="38010000">
            <w:pPr>
              <w:rPr>
                <w:rFonts w:ascii="Times New Roman" w:hAnsi="Times New Roman"/>
                <w:color w:val="1F1D26"/>
              </w:rPr>
            </w:pPr>
          </w:p>
          <w:p w14:paraId="39010000">
            <w:pPr>
              <w:rPr>
                <w:rFonts w:ascii="Times New Roman" w:hAnsi="Times New Roman"/>
                <w:color w:val="1F1D26"/>
              </w:rPr>
            </w:pPr>
          </w:p>
          <w:p w14:paraId="3A010000">
            <w:pPr>
              <w:rPr>
                <w:rFonts w:ascii="Times New Roman" w:hAnsi="Times New Roman"/>
                <w:color w:val="1F1D26"/>
              </w:rPr>
            </w:pPr>
          </w:p>
          <w:p w14:paraId="3B010000">
            <w:pPr>
              <w:rPr>
                <w:rFonts w:ascii="Times New Roman" w:hAnsi="Times New Roman"/>
                <w:color w:val="1F1D26"/>
              </w:rPr>
            </w:pPr>
          </w:p>
          <w:p w14:paraId="3C010000">
            <w:pPr>
              <w:rPr>
                <w:rFonts w:ascii="Times New Roman" w:hAnsi="Times New Roman"/>
                <w:color w:val="1F1D26"/>
              </w:rPr>
            </w:pPr>
          </w:p>
          <w:p w14:paraId="3D010000">
            <w:pPr>
              <w:rPr>
                <w:rFonts w:ascii="Times New Roman" w:hAnsi="Times New Roman"/>
                <w:color w:val="1F1D26"/>
              </w:rPr>
            </w:pPr>
          </w:p>
          <w:p w14:paraId="3E010000">
            <w:pPr>
              <w:rPr>
                <w:rFonts w:ascii="Times New Roman" w:hAnsi="Times New Roman"/>
                <w:color w:val="1F1D26"/>
              </w:rPr>
            </w:pPr>
          </w:p>
          <w:p w14:paraId="3F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КГКУ «Центр занятости населения Камчатского края»</w:t>
            </w:r>
          </w:p>
        </w:tc>
      </w:tr>
      <w:tr>
        <w:tc>
          <w:tcPr>
            <w:tcW w:type="dxa" w:w="424"/>
          </w:tcPr>
          <w:p w14:paraId="40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б)</w:t>
            </w:r>
          </w:p>
        </w:tc>
        <w:tc>
          <w:tcPr>
            <w:tcW w:type="dxa" w:w="3638"/>
          </w:tcPr>
          <w:p w14:paraId="41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  Размещение постов на о</w:t>
            </w:r>
            <w:r>
              <w:rPr>
                <w:rFonts w:ascii="Times New Roman" w:hAnsi="Times New Roman"/>
                <w:color w:val="000000"/>
                <w:sz w:val="22"/>
              </w:rPr>
              <w:t>фициальны</w:t>
            </w:r>
            <w:r>
              <w:rPr>
                <w:rFonts w:ascii="Times New Roman" w:hAnsi="Times New Roman"/>
                <w:color w:val="000000"/>
                <w:sz w:val="22"/>
              </w:rPr>
              <w:t>х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страниц</w:t>
            </w:r>
            <w:r>
              <w:rPr>
                <w:rFonts w:ascii="Times New Roman" w:hAnsi="Times New Roman"/>
                <w:color w:val="000000"/>
                <w:sz w:val="22"/>
              </w:rPr>
              <w:t>ах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Министерства в социальных сетях</w:t>
            </w:r>
            <w:r>
              <w:rPr>
                <w:rFonts w:ascii="Times New Roman" w:hAnsi="Times New Roman"/>
                <w:color w:val="000000"/>
                <w:sz w:val="22"/>
              </w:rPr>
              <w:t>:</w:t>
            </w:r>
          </w:p>
          <w:p w14:paraId="42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2"/>
              </w:rPr>
              <w:t>- сведения об изменениях, внесенных в нормативные правовые акты, регулирующие осуществление государственного контроля (надзора), о сроках и порядке их вступления в силу</w:t>
            </w:r>
            <w:r>
              <w:rPr>
                <w:rFonts w:ascii="Times New Roman" w:hAnsi="Times New Roman"/>
                <w:color w:val="000000"/>
                <w:sz w:val="22"/>
              </w:rPr>
              <w:t>;</w:t>
            </w:r>
          </w:p>
          <w:p w14:paraId="43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2"/>
              </w:rPr>
              <w:t>- аналитическая информация об исполнении квоты работодателями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; </w:t>
            </w:r>
          </w:p>
          <w:p w14:paraId="44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    - о наличии вакансий, заявленных работодателями в счет квоты для трудоустройства инвалидов;</w:t>
            </w:r>
          </w:p>
          <w:p w14:paraId="45010000">
            <w:pPr>
              <w:widowControl w:val="0"/>
              <w:ind w:firstLine="11" w:left="0"/>
              <w:jc w:val="both"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    - положительные примеры трудоустройства инвалидов, исполнения законодательства о квотировании и другие</w:t>
            </w:r>
          </w:p>
        </w:tc>
        <w:tc>
          <w:tcPr>
            <w:tcW w:type="dxa" w:w="1560"/>
            <w:gridSpan w:val="2"/>
          </w:tcPr>
          <w:p w14:paraId="46010000">
            <w:pPr>
              <w:rPr>
                <w:rFonts w:ascii="Times New Roman" w:hAnsi="Times New Roman"/>
                <w:color w:val="1F1D26"/>
              </w:rPr>
            </w:pPr>
          </w:p>
          <w:p w14:paraId="47010000">
            <w:pPr>
              <w:rPr>
                <w:rFonts w:ascii="Times New Roman" w:hAnsi="Times New Roman"/>
                <w:color w:val="1F1D26"/>
              </w:rPr>
            </w:pPr>
          </w:p>
          <w:p w14:paraId="48010000">
            <w:pPr>
              <w:rPr>
                <w:rFonts w:ascii="Times New Roman" w:hAnsi="Times New Roman"/>
                <w:color w:val="1F1D26"/>
              </w:rPr>
            </w:pPr>
          </w:p>
          <w:p w14:paraId="49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в течение 10 рабочих дней </w:t>
            </w:r>
            <w:r>
              <w:rPr>
                <w:rFonts w:ascii="Times New Roman" w:hAnsi="Times New Roman"/>
                <w:color w:val="000000"/>
                <w:sz w:val="22"/>
              </w:rPr>
              <w:t>после вступления в силу</w:t>
            </w:r>
          </w:p>
          <w:p w14:paraId="4A010000">
            <w:pPr>
              <w:rPr>
                <w:rFonts w:ascii="Times New Roman" w:hAnsi="Times New Roman"/>
                <w:color w:val="000000"/>
                <w:sz w:val="22"/>
              </w:rPr>
            </w:pPr>
          </w:p>
          <w:p w14:paraId="4B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не реже 1 раза в </w:t>
            </w:r>
            <w:r>
              <w:rPr>
                <w:rFonts w:ascii="Times New Roman" w:hAnsi="Times New Roman"/>
                <w:color w:val="000000"/>
                <w:sz w:val="22"/>
              </w:rPr>
              <w:t>квартал</w:t>
            </w:r>
          </w:p>
          <w:p w14:paraId="4C010000">
            <w:pPr>
              <w:rPr>
                <w:rFonts w:ascii="Times New Roman" w:hAnsi="Times New Roman"/>
                <w:color w:val="000000"/>
                <w:sz w:val="22"/>
              </w:rPr>
            </w:pPr>
          </w:p>
          <w:p w14:paraId="4D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не реже </w:t>
            </w:r>
            <w:r>
              <w:rPr>
                <w:rFonts w:ascii="Times New Roman" w:hAnsi="Times New Roman"/>
                <w:color w:val="000000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раз в месяц</w:t>
            </w:r>
          </w:p>
          <w:p w14:paraId="4E010000">
            <w:pPr>
              <w:rPr>
                <w:rFonts w:ascii="Times New Roman" w:hAnsi="Times New Roman"/>
                <w:color w:val="1F1D26"/>
                <w:sz w:val="22"/>
              </w:rPr>
            </w:pPr>
          </w:p>
          <w:p w14:paraId="4F010000">
            <w:pPr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не реже 1 раза в </w:t>
            </w:r>
            <w:r>
              <w:rPr>
                <w:rFonts w:ascii="Times New Roman" w:hAnsi="Times New Roman"/>
                <w:color w:val="000000"/>
                <w:sz w:val="22"/>
              </w:rPr>
              <w:t>месяц</w:t>
            </w:r>
          </w:p>
        </w:tc>
        <w:tc>
          <w:tcPr>
            <w:tcW w:type="dxa" w:w="2032"/>
            <w:gridSpan w:val="2"/>
          </w:tcPr>
          <w:p w14:paraId="50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Повышение</w:t>
            </w:r>
          </w:p>
          <w:p w14:paraId="51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правовой</w:t>
            </w:r>
          </w:p>
          <w:p w14:paraId="52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грамотности подконтрольных субъектов</w:t>
            </w:r>
          </w:p>
        </w:tc>
        <w:tc>
          <w:tcPr>
            <w:tcW w:type="dxa" w:w="1701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Отдел организационно-правового обеспечения и контроля Министерства;</w:t>
            </w:r>
          </w:p>
          <w:p w14:paraId="54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КГКУ «Центр занятости населения Камчатского края»</w:t>
            </w:r>
          </w:p>
        </w:tc>
      </w:tr>
      <w:tr>
        <w:tc>
          <w:tcPr>
            <w:tcW w:type="dxa" w:w="424"/>
          </w:tcPr>
          <w:p w14:paraId="55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в)</w:t>
            </w:r>
          </w:p>
        </w:tc>
        <w:tc>
          <w:tcPr>
            <w:tcW w:type="dxa" w:w="3638"/>
          </w:tcPr>
          <w:p w14:paraId="56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2"/>
              </w:rPr>
              <w:t>дресное информирование работодателей, в том числе р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азмещение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информации </w:t>
            </w:r>
            <w:r>
              <w:rPr>
                <w:rFonts w:ascii="Times New Roman" w:hAnsi="Times New Roman"/>
                <w:color w:val="000000"/>
                <w:sz w:val="22"/>
              </w:rPr>
              <w:t>в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личны</w:t>
            </w:r>
            <w:r>
              <w:rPr>
                <w:rFonts w:ascii="Times New Roman" w:hAnsi="Times New Roman"/>
                <w:color w:val="000000"/>
                <w:sz w:val="22"/>
              </w:rPr>
              <w:t>х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кабинет</w:t>
            </w:r>
            <w:r>
              <w:rPr>
                <w:rFonts w:ascii="Times New Roman" w:hAnsi="Times New Roman"/>
                <w:color w:val="000000"/>
                <w:sz w:val="22"/>
              </w:rPr>
              <w:t>ах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контролируемых лиц в государственных информационных системах (при их наличии), </w:t>
            </w:r>
            <w:r>
              <w:rPr>
                <w:rFonts w:ascii="Times New Roman" w:hAnsi="Times New Roman"/>
                <w:color w:val="000000"/>
                <w:sz w:val="22"/>
              </w:rPr>
              <w:t>направление на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электронн</w:t>
            </w:r>
            <w:r>
              <w:rPr>
                <w:rFonts w:ascii="Times New Roman" w:hAnsi="Times New Roman"/>
                <w:color w:val="000000"/>
                <w:sz w:val="22"/>
              </w:rPr>
              <w:t>ую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почт</w:t>
            </w:r>
            <w:r>
              <w:rPr>
                <w:rFonts w:ascii="Times New Roman" w:hAnsi="Times New Roman"/>
                <w:color w:val="000000"/>
                <w:sz w:val="22"/>
              </w:rPr>
              <w:t>у</w:t>
            </w:r>
            <w:r>
              <w:rPr>
                <w:rFonts w:ascii="Times New Roman" w:hAnsi="Times New Roman"/>
                <w:color w:val="000000"/>
                <w:sz w:val="22"/>
              </w:rPr>
              <w:t>, на мероприятиях (совещания, круглые столы, семинары)</w:t>
            </w:r>
            <w:r>
              <w:rPr>
                <w:rFonts w:ascii="Times New Roman" w:hAnsi="Times New Roman"/>
                <w:color w:val="000000"/>
                <w:sz w:val="22"/>
              </w:rPr>
              <w:t>:</w:t>
            </w:r>
          </w:p>
          <w:p w14:paraId="57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</w:rPr>
              <w:t>текст нормативных правовых актов, регулирующих осуществление контроля (надзора);</w:t>
            </w:r>
          </w:p>
          <w:p w14:paraId="58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памятки для работодателей, разработанные с учетом нормативных правовых актов субъекта </w:t>
            </w:r>
            <w:r>
              <w:rPr>
                <w:rFonts w:ascii="Times New Roman" w:hAnsi="Times New Roman"/>
                <w:color w:val="000000"/>
                <w:sz w:val="22"/>
              </w:rPr>
              <w:t>РФ</w:t>
            </w:r>
            <w:r>
              <w:rPr>
                <w:rFonts w:ascii="Times New Roman" w:hAnsi="Times New Roman"/>
                <w:color w:val="000000"/>
                <w:sz w:val="22"/>
              </w:rPr>
              <w:t>;</w:t>
            </w:r>
          </w:p>
          <w:p w14:paraId="59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 аналитическая информация об исполнении квоты работодателями;</w:t>
            </w:r>
          </w:p>
          <w:p w14:paraId="5A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- сведения об изменениях, внесенных в нормативные правовые акты, регулирующие осуществление государственного контроля </w:t>
            </w:r>
          </w:p>
        </w:tc>
        <w:tc>
          <w:tcPr>
            <w:tcW w:type="dxa" w:w="7"/>
          </w:tcPr>
          <w:p w14:paraId="5B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</w:p>
        </w:tc>
        <w:tc>
          <w:tcPr>
            <w:tcW w:type="dxa" w:w="1553"/>
          </w:tcPr>
          <w:p w14:paraId="5C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не реже 1 раза в </w:t>
            </w:r>
            <w:r>
              <w:rPr>
                <w:rFonts w:ascii="Times New Roman" w:hAnsi="Times New Roman"/>
                <w:color w:val="000000"/>
                <w:sz w:val="22"/>
              </w:rPr>
              <w:t>полугодие</w:t>
            </w:r>
          </w:p>
        </w:tc>
        <w:tc>
          <w:tcPr>
            <w:tcW w:type="dxa" w:w="7"/>
          </w:tcPr>
          <w:p w14:paraId="5D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</w:p>
        </w:tc>
        <w:tc>
          <w:tcPr>
            <w:tcW w:type="dxa" w:w="2025"/>
          </w:tcPr>
          <w:p w14:paraId="5E010000">
            <w:pPr>
              <w:spacing w:after="0" w:line="240" w:lineRule="auto"/>
              <w:ind/>
              <w:jc w:val="left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Повышение</w:t>
            </w:r>
          </w:p>
          <w:p w14:paraId="5F010000">
            <w:pPr>
              <w:spacing w:after="0" w:line="240" w:lineRule="auto"/>
              <w:ind/>
              <w:jc w:val="left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правовой</w:t>
            </w:r>
          </w:p>
          <w:p w14:paraId="60010000">
            <w:pPr>
              <w:ind/>
              <w:jc w:val="left"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1F1D26"/>
              </w:rPr>
              <w:t>грамотности подконтрольных субъектов</w:t>
            </w:r>
          </w:p>
        </w:tc>
        <w:tc>
          <w:tcPr>
            <w:tcW w:type="dxa" w:w="1701"/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Отдел организационно-правового обеспечения и контроля Министерства;</w:t>
            </w:r>
          </w:p>
          <w:p w14:paraId="62010000">
            <w:pPr>
              <w:ind/>
              <w:jc w:val="left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КГКУ «Центр занятости населения Камчатского края»</w:t>
            </w:r>
          </w:p>
        </w:tc>
      </w:tr>
      <w:tr>
        <w:tc>
          <w:tcPr>
            <w:tcW w:type="dxa" w:w="424"/>
          </w:tcPr>
          <w:p w14:paraId="63010000">
            <w:pPr>
              <w:ind/>
              <w:jc w:val="center"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1F1D26"/>
                <w:sz w:val="22"/>
              </w:rPr>
              <w:t>г)</w:t>
            </w:r>
          </w:p>
        </w:tc>
        <w:tc>
          <w:tcPr>
            <w:tcW w:type="dxa" w:w="3638"/>
          </w:tcPr>
          <w:p w14:paraId="64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Публичные слушания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, совместно с </w:t>
            </w:r>
            <w:r>
              <w:rPr>
                <w:rFonts w:ascii="Times New Roman" w:hAnsi="Times New Roman"/>
                <w:color w:val="000000"/>
                <w:sz w:val="22"/>
              </w:rPr>
              <w:t>Государственной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инспекци</w:t>
            </w:r>
            <w:r>
              <w:rPr>
                <w:rFonts w:ascii="Times New Roman" w:hAnsi="Times New Roman"/>
                <w:color w:val="000000"/>
                <w:sz w:val="22"/>
              </w:rPr>
              <w:t>ей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</w:rPr>
              <w:t>учреждени</w:t>
            </w:r>
            <w:r>
              <w:rPr>
                <w:rFonts w:ascii="Times New Roman" w:hAnsi="Times New Roman"/>
                <w:color w:val="000000"/>
                <w:sz w:val="22"/>
              </w:rPr>
              <w:t>ем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медико-социальной экспертизы</w:t>
            </w:r>
            <w:r>
              <w:rPr>
                <w:rFonts w:ascii="Times New Roman" w:hAnsi="Times New Roman"/>
                <w:color w:val="000000"/>
                <w:sz w:val="22"/>
              </w:rPr>
              <w:t>, общественными организациями инвалидов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для информирования работодателей о порядке установления и исполнения квот для приема инвалидов</w:t>
            </w:r>
          </w:p>
          <w:p w14:paraId="65010000">
            <w:pPr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7"/>
          </w:tcPr>
          <w:p w14:paraId="66010000">
            <w:pPr>
              <w:ind/>
              <w:jc w:val="center"/>
              <w:rPr>
                <w:rFonts w:ascii="Times New Roman" w:hAnsi="Times New Roman"/>
                <w:color w:val="1F1D26"/>
                <w:sz w:val="22"/>
              </w:rPr>
            </w:pPr>
          </w:p>
        </w:tc>
        <w:tc>
          <w:tcPr>
            <w:tcW w:type="dxa" w:w="1553"/>
          </w:tcPr>
          <w:p w14:paraId="67010000">
            <w:pPr>
              <w:ind/>
              <w:jc w:val="center"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не реже 1 раза в </w:t>
            </w:r>
            <w:r>
              <w:rPr>
                <w:rFonts w:ascii="Times New Roman" w:hAnsi="Times New Roman"/>
                <w:color w:val="000000"/>
                <w:sz w:val="22"/>
              </w:rPr>
              <w:t>квартал</w:t>
            </w:r>
            <w:r>
              <w:rPr>
                <w:rFonts w:ascii="Times New Roman" w:hAnsi="Times New Roman"/>
                <w:color w:val="1F1D26"/>
                <w:sz w:val="22"/>
              </w:rPr>
              <w:t xml:space="preserve"> </w:t>
            </w:r>
          </w:p>
        </w:tc>
        <w:tc>
          <w:tcPr>
            <w:tcW w:type="dxa" w:w="7"/>
          </w:tcPr>
          <w:p w14:paraId="68010000">
            <w:pPr>
              <w:ind/>
              <w:jc w:val="center"/>
              <w:rPr>
                <w:rFonts w:ascii="Times New Roman" w:hAnsi="Times New Roman"/>
                <w:color w:val="1F1D26"/>
                <w:sz w:val="22"/>
              </w:rPr>
            </w:pPr>
          </w:p>
        </w:tc>
        <w:tc>
          <w:tcPr>
            <w:tcW w:type="dxa" w:w="2025"/>
          </w:tcPr>
          <w:p w14:paraId="69010000">
            <w:pPr>
              <w:spacing w:after="0" w:line="240" w:lineRule="auto"/>
              <w:ind/>
              <w:jc w:val="left"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1F1D26"/>
                <w:sz w:val="22"/>
              </w:rPr>
              <w:t>Повышение</w:t>
            </w:r>
          </w:p>
          <w:p w14:paraId="6A010000">
            <w:pPr>
              <w:spacing w:after="0" w:line="240" w:lineRule="auto"/>
              <w:ind/>
              <w:jc w:val="left"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1F1D26"/>
                <w:sz w:val="22"/>
              </w:rPr>
              <w:t>правовой</w:t>
            </w:r>
          </w:p>
          <w:p w14:paraId="6B010000">
            <w:pPr>
              <w:spacing w:after="0" w:line="240" w:lineRule="auto"/>
              <w:ind/>
              <w:jc w:val="left"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1F1D26"/>
                <w:sz w:val="22"/>
              </w:rPr>
              <w:t>грамотности подконтрольных субъектов</w:t>
            </w:r>
          </w:p>
          <w:p w14:paraId="6C010000">
            <w:pPr>
              <w:spacing w:after="0" w:line="240" w:lineRule="auto"/>
              <w:ind/>
              <w:jc w:val="left"/>
              <w:rPr>
                <w:rFonts w:ascii="Times New Roman" w:hAnsi="Times New Roman"/>
                <w:color w:val="1F1D26"/>
                <w:sz w:val="22"/>
              </w:rPr>
            </w:pPr>
          </w:p>
        </w:tc>
        <w:tc>
          <w:tcPr>
            <w:tcW w:type="dxa" w:w="1701"/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1F1D26"/>
                <w:sz w:val="22"/>
              </w:rPr>
              <w:t>Отдел организационно-правового обеспечения и контроля Министерства</w:t>
            </w:r>
          </w:p>
        </w:tc>
      </w:tr>
      <w:tr>
        <w:tc>
          <w:tcPr>
            <w:tcW w:type="dxa" w:w="424"/>
          </w:tcPr>
          <w:p w14:paraId="6E010000">
            <w:pPr>
              <w:ind/>
              <w:jc w:val="center"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1F1D26"/>
                <w:sz w:val="22"/>
              </w:rPr>
              <w:t>д)</w:t>
            </w:r>
          </w:p>
        </w:tc>
        <w:tc>
          <w:tcPr>
            <w:tcW w:type="dxa" w:w="3638"/>
          </w:tcPr>
          <w:p w14:paraId="6F01000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Рассмотрение на трехсторонней комиссии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субъекта Российской Федерации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доклада о </w:t>
            </w:r>
            <w:r>
              <w:rPr>
                <w:rFonts w:ascii="Times New Roman" w:hAnsi="Times New Roman"/>
                <w:color w:val="000000"/>
                <w:sz w:val="22"/>
              </w:rPr>
              <w:t>государственном контроле (надзоре)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</w:rPr>
              <w:t>результат</w:t>
            </w:r>
            <w:r>
              <w:rPr>
                <w:rFonts w:ascii="Times New Roman" w:hAnsi="Times New Roman"/>
                <w:color w:val="000000"/>
                <w:sz w:val="22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</w:rPr>
              <w:t>х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реализации мероприятий по содействию трудоустройству инвалидов</w:t>
            </w:r>
          </w:p>
        </w:tc>
        <w:tc>
          <w:tcPr>
            <w:tcW w:type="dxa" w:w="7"/>
          </w:tcPr>
          <w:p w14:paraId="70010000">
            <w:pPr>
              <w:ind/>
              <w:jc w:val="center"/>
              <w:rPr>
                <w:rFonts w:ascii="Times New Roman" w:hAnsi="Times New Roman"/>
                <w:color w:val="1F1D26"/>
                <w:sz w:val="22"/>
              </w:rPr>
            </w:pPr>
          </w:p>
        </w:tc>
        <w:tc>
          <w:tcPr>
            <w:tcW w:type="dxa" w:w="1553"/>
          </w:tcPr>
          <w:p w14:paraId="71010000">
            <w:pPr>
              <w:ind/>
              <w:jc w:val="center"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не реже 1 раза в </w:t>
            </w:r>
            <w:r>
              <w:rPr>
                <w:rFonts w:ascii="Times New Roman" w:hAnsi="Times New Roman"/>
                <w:color w:val="000000"/>
                <w:sz w:val="22"/>
              </w:rPr>
              <w:t>полугодие</w:t>
            </w:r>
          </w:p>
        </w:tc>
        <w:tc>
          <w:tcPr>
            <w:tcW w:type="dxa" w:w="7"/>
          </w:tcPr>
          <w:p w14:paraId="72010000">
            <w:pPr>
              <w:ind/>
              <w:jc w:val="center"/>
              <w:rPr>
                <w:rFonts w:ascii="Times New Roman" w:hAnsi="Times New Roman"/>
                <w:color w:val="1F1D26"/>
                <w:sz w:val="22"/>
              </w:rPr>
            </w:pPr>
          </w:p>
        </w:tc>
        <w:tc>
          <w:tcPr>
            <w:tcW w:type="dxa" w:w="2025"/>
          </w:tcPr>
          <w:p w14:paraId="73010000">
            <w:pPr>
              <w:spacing w:after="0" w:line="240" w:lineRule="auto"/>
              <w:ind/>
              <w:jc w:val="left"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1F1D26"/>
                <w:sz w:val="22"/>
              </w:rPr>
              <w:t>Доведение информации о состоянии регионального контроля (надзора) до сторон социального партнерства в Камчатском крае</w:t>
            </w:r>
          </w:p>
        </w:tc>
        <w:tc>
          <w:tcPr>
            <w:tcW w:type="dxa" w:w="1701"/>
          </w:tcPr>
          <w:p w14:paraId="74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1F1D26"/>
                <w:sz w:val="22"/>
              </w:rPr>
              <w:t>Отдел организационно-правового обеспечения и контроля Министерства; отдел трудовых отношений Министерства</w:t>
            </w:r>
          </w:p>
        </w:tc>
      </w:tr>
      <w:tr>
        <w:tc>
          <w:tcPr>
            <w:tcW w:type="dxa" w:w="424"/>
          </w:tcPr>
          <w:p w14:paraId="75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2.</w:t>
            </w:r>
          </w:p>
        </w:tc>
        <w:tc>
          <w:tcPr>
            <w:tcW w:type="dxa" w:w="8931"/>
            <w:gridSpan w:val="6"/>
          </w:tcPr>
          <w:p w14:paraId="76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Обобщение правоприменительной практики</w:t>
            </w:r>
          </w:p>
        </w:tc>
      </w:tr>
      <w:tr>
        <w:trPr>
          <w:trHeight w:hRule="atLeast" w:val="540"/>
        </w:trPr>
        <w:tc>
          <w:tcPr>
            <w:tcW w:type="dxa" w:w="424"/>
          </w:tcPr>
          <w:p w14:paraId="77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а)</w:t>
            </w:r>
          </w:p>
        </w:tc>
        <w:tc>
          <w:tcPr>
            <w:tcW w:type="dxa" w:w="3638"/>
          </w:tcPr>
          <w:p w14:paraId="78010000">
            <w:pPr>
              <w:widowControl w:val="0"/>
              <w:ind w:firstLine="11" w:left="0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Обобщение </w:t>
            </w:r>
            <w:r>
              <w:rPr>
                <w:rFonts w:ascii="Times New Roman" w:hAnsi="Times New Roman"/>
                <w:color w:val="1F1D26"/>
              </w:rPr>
              <w:t xml:space="preserve">правоприменительной практики </w:t>
            </w:r>
            <w:r>
              <w:rPr>
                <w:rFonts w:ascii="Times New Roman" w:hAnsi="Times New Roman"/>
                <w:color w:val="1F1D26"/>
              </w:rPr>
              <w:t>регионального контроля</w:t>
            </w:r>
            <w:r>
              <w:rPr>
                <w:rFonts w:ascii="Times New Roman" w:hAnsi="Times New Roman"/>
                <w:color w:val="1F1D26"/>
              </w:rPr>
              <w:t xml:space="preserve"> </w:t>
            </w:r>
          </w:p>
          <w:p w14:paraId="79010000">
            <w:pPr>
              <w:widowControl w:val="0"/>
              <w:ind w:firstLine="11" w:left="0"/>
              <w:jc w:val="both"/>
              <w:rPr>
                <w:rFonts w:ascii="Times New Roman" w:hAnsi="Times New Roman"/>
                <w:color w:val="1F1D26"/>
              </w:rPr>
            </w:pPr>
          </w:p>
        </w:tc>
        <w:tc>
          <w:tcPr>
            <w:tcW w:type="dxa" w:w="1560"/>
            <w:gridSpan w:val="2"/>
          </w:tcPr>
          <w:p w14:paraId="7A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До </w:t>
            </w:r>
            <w:r>
              <w:rPr>
                <w:rFonts w:ascii="Times New Roman" w:hAnsi="Times New Roman"/>
                <w:color w:val="1F1D26"/>
              </w:rPr>
              <w:t xml:space="preserve">1 марта года, следующего за отчетным годом </w:t>
            </w:r>
          </w:p>
        </w:tc>
        <w:tc>
          <w:tcPr>
            <w:tcW w:type="dxa" w:w="2032"/>
            <w:gridSpan w:val="2"/>
          </w:tcPr>
          <w:p w14:paraId="7B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Повышение открытости </w:t>
            </w:r>
            <w:r>
              <w:rPr>
                <w:rFonts w:ascii="Times New Roman" w:hAnsi="Times New Roman"/>
                <w:color w:val="1F1D26"/>
              </w:rPr>
              <w:t>деятельности органов занятости населения</w:t>
            </w:r>
          </w:p>
        </w:tc>
        <w:tc>
          <w:tcPr>
            <w:tcW w:type="dxa" w:w="1701"/>
          </w:tcPr>
          <w:p w14:paraId="7C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Отдел </w:t>
            </w:r>
            <w:r>
              <w:rPr>
                <w:rFonts w:ascii="Times New Roman" w:hAnsi="Times New Roman"/>
                <w:color w:val="1F1D26"/>
              </w:rPr>
              <w:t>организационн</w:t>
            </w:r>
            <w:r>
              <w:rPr>
                <w:rFonts w:ascii="Times New Roman" w:hAnsi="Times New Roman"/>
                <w:color w:val="1F1D26"/>
              </w:rPr>
              <w:t xml:space="preserve"> о-правового обеспечения и контроля Министерства</w:t>
            </w:r>
          </w:p>
        </w:tc>
      </w:tr>
      <w:tr>
        <w:trPr>
          <w:trHeight w:hRule="atLeast" w:val="2235"/>
        </w:trPr>
        <w:tc>
          <w:tcPr>
            <w:tcW w:type="dxa" w:w="424"/>
          </w:tcPr>
          <w:p w14:paraId="7D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б)</w:t>
            </w:r>
          </w:p>
        </w:tc>
        <w:tc>
          <w:tcPr>
            <w:tcW w:type="dxa" w:w="3638"/>
          </w:tcPr>
          <w:p w14:paraId="7E010000">
            <w:pPr>
              <w:widowControl w:val="0"/>
              <w:ind w:firstLine="11" w:left="0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 </w:t>
            </w:r>
            <w:r>
              <w:rPr>
                <w:rFonts w:ascii="Times New Roman" w:hAnsi="Times New Roman"/>
                <w:color w:val="1F1D26"/>
              </w:rPr>
              <w:t>Р</w:t>
            </w:r>
            <w:r>
              <w:rPr>
                <w:rFonts w:ascii="Times New Roman" w:hAnsi="Times New Roman"/>
                <w:color w:val="1F1D26"/>
              </w:rPr>
              <w:t>азмещение на официальном сайте в информационно-телекоммуникационной сети   «Интернет»   ежегодного</w:t>
            </w:r>
            <w:r>
              <w:rPr>
                <w:rFonts w:ascii="Times New Roman" w:hAnsi="Times New Roman"/>
                <w:color w:val="1F1D26"/>
                <w:spacing w:val="47"/>
              </w:rPr>
              <w:t xml:space="preserve"> </w:t>
            </w:r>
            <w:r>
              <w:rPr>
                <w:rFonts w:ascii="Times New Roman" w:hAnsi="Times New Roman"/>
                <w:color w:val="1F1D26"/>
              </w:rPr>
              <w:t>доклада</w:t>
            </w:r>
            <w:r>
              <w:rPr>
                <w:rFonts w:ascii="Times New Roman" w:hAnsi="Times New Roman"/>
                <w:color w:val="1F1D26"/>
              </w:rPr>
              <w:t>,</w:t>
            </w:r>
            <w:r>
              <w:rPr>
                <w:rFonts w:ascii="Times New Roman" w:hAnsi="Times New Roman"/>
                <w:color w:val="1F1D26"/>
              </w:rPr>
              <w:t xml:space="preserve"> </w:t>
            </w:r>
            <w:r>
              <w:rPr>
                <w:rFonts w:ascii="Times New Roman" w:hAnsi="Times New Roman"/>
                <w:color w:val="1F1D26"/>
              </w:rPr>
              <w:t>содержащего результаты обобщения правоприменительной практики Министерства по региональному контролю</w:t>
            </w:r>
          </w:p>
        </w:tc>
        <w:tc>
          <w:tcPr>
            <w:tcW w:type="dxa" w:w="1560"/>
            <w:gridSpan w:val="2"/>
          </w:tcPr>
          <w:p w14:paraId="7F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До 3 дней со дня утверждения доклада</w:t>
            </w:r>
          </w:p>
        </w:tc>
        <w:tc>
          <w:tcPr>
            <w:tcW w:type="dxa" w:w="2032"/>
            <w:gridSpan w:val="2"/>
          </w:tcPr>
          <w:p w14:paraId="80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Повышение открытости деятельности органов занятости населения</w:t>
            </w:r>
          </w:p>
        </w:tc>
        <w:tc>
          <w:tcPr>
            <w:tcW w:type="dxa" w:w="1701"/>
          </w:tcPr>
          <w:p w14:paraId="81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Отдел </w:t>
            </w:r>
            <w:r>
              <w:rPr>
                <w:rFonts w:ascii="Times New Roman" w:hAnsi="Times New Roman"/>
                <w:color w:val="1F1D26"/>
              </w:rPr>
              <w:t>организационн</w:t>
            </w:r>
            <w:r>
              <w:rPr>
                <w:rFonts w:ascii="Times New Roman" w:hAnsi="Times New Roman"/>
                <w:color w:val="1F1D26"/>
              </w:rPr>
              <w:t xml:space="preserve"> о-правового обеспечения и контроля Министерства</w:t>
            </w:r>
          </w:p>
        </w:tc>
      </w:tr>
      <w:tr>
        <w:trPr>
          <w:trHeight w:hRule="atLeast" w:val="2235"/>
        </w:trPr>
        <w:tc>
          <w:tcPr>
            <w:tcW w:type="dxa" w:w="424"/>
          </w:tcPr>
          <w:p w14:paraId="82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в)</w:t>
            </w:r>
          </w:p>
        </w:tc>
        <w:tc>
          <w:tcPr>
            <w:tcW w:type="dxa" w:w="3638"/>
          </w:tcPr>
          <w:p w14:paraId="83010000">
            <w:pPr>
              <w:widowControl w:val="0"/>
              <w:ind w:firstLine="11" w:left="0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Подготовка и направление для размещения информации (обзоров) о типичных нарушениях обязательных требований </w:t>
            </w:r>
            <w:r>
              <w:rPr>
                <w:rFonts w:ascii="Times New Roman" w:hAnsi="Times New Roman"/>
                <w:color w:val="1F1D26"/>
              </w:rPr>
              <w:t>подконтрольными</w:t>
            </w:r>
            <w:r>
              <w:rPr>
                <w:rFonts w:ascii="Times New Roman" w:hAnsi="Times New Roman"/>
                <w:color w:val="1F1D26"/>
              </w:rPr>
              <w:t xml:space="preserve"> субъектами, выявляемых при проведении   мероприятий по контролю (надзору), с  указанием наиболее часто встречающихся случаев  нарушений обязательных требований</w:t>
            </w:r>
          </w:p>
        </w:tc>
        <w:tc>
          <w:tcPr>
            <w:tcW w:type="dxa" w:w="1560"/>
            <w:gridSpan w:val="2"/>
          </w:tcPr>
          <w:p w14:paraId="84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Ежеквартально</w:t>
            </w:r>
          </w:p>
        </w:tc>
        <w:tc>
          <w:tcPr>
            <w:tcW w:type="dxa" w:w="2032"/>
            <w:gridSpan w:val="2"/>
          </w:tcPr>
          <w:p w14:paraId="85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Повышение</w:t>
            </w:r>
          </w:p>
          <w:p w14:paraId="86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правовой</w:t>
            </w:r>
          </w:p>
          <w:p w14:paraId="87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грамотности подконтрольных субъектов</w:t>
            </w:r>
          </w:p>
        </w:tc>
        <w:tc>
          <w:tcPr>
            <w:tcW w:type="dxa" w:w="1701"/>
          </w:tcPr>
          <w:p w14:paraId="88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Отдел организационно-правового обеспечения и контроля Министерства</w:t>
            </w:r>
          </w:p>
        </w:tc>
      </w:tr>
      <w:tr>
        <w:trPr>
          <w:trHeight w:hRule="atLeast" w:val="2235"/>
        </w:trPr>
        <w:tc>
          <w:tcPr>
            <w:tcW w:type="dxa" w:w="424"/>
          </w:tcPr>
          <w:p w14:paraId="89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г)</w:t>
            </w:r>
          </w:p>
        </w:tc>
        <w:tc>
          <w:tcPr>
            <w:tcW w:type="dxa" w:w="3638"/>
          </w:tcPr>
          <w:p w14:paraId="8A010000">
            <w:pPr>
              <w:widowControl w:val="0"/>
              <w:ind w:firstLine="11" w:left="0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Подготовка и проведение публичных обсуждений правоприменительной практики Министерства при осуществлении надзора и контроля за приемом на работу инвалидов в пределах установленной квоты</w:t>
            </w:r>
          </w:p>
        </w:tc>
        <w:tc>
          <w:tcPr>
            <w:tcW w:type="dxa" w:w="1560"/>
            <w:gridSpan w:val="2"/>
          </w:tcPr>
          <w:p w14:paraId="8B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1 раз в квартал</w:t>
            </w:r>
          </w:p>
        </w:tc>
        <w:tc>
          <w:tcPr>
            <w:tcW w:type="dxa" w:w="2032"/>
            <w:gridSpan w:val="2"/>
          </w:tcPr>
          <w:p w14:paraId="8C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Получение обратной связи, выявление причин, факторов и условий, приводящих</w:t>
            </w:r>
            <w:r>
              <w:rPr>
                <w:rFonts w:ascii="Times New Roman" w:hAnsi="Times New Roman"/>
                <w:color w:val="1F1D26"/>
              </w:rPr>
              <w:tab/>
            </w:r>
            <w:r>
              <w:rPr>
                <w:rFonts w:ascii="Times New Roman" w:hAnsi="Times New Roman"/>
                <w:color w:val="1F1D26"/>
              </w:rPr>
              <w:t>к</w:t>
            </w:r>
          </w:p>
          <w:p w14:paraId="8D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нарушению</w:t>
            </w:r>
          </w:p>
          <w:p w14:paraId="8E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обязательных</w:t>
            </w:r>
          </w:p>
          <w:p w14:paraId="8F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требований</w:t>
            </w:r>
          </w:p>
        </w:tc>
        <w:tc>
          <w:tcPr>
            <w:tcW w:type="dxa" w:w="1701"/>
          </w:tcPr>
          <w:p w14:paraId="90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Отдел организационно-правового обеспечения и контроля Министерства</w:t>
            </w:r>
          </w:p>
        </w:tc>
      </w:tr>
      <w:tr>
        <w:trPr>
          <w:trHeight w:hRule="atLeast" w:val="467"/>
        </w:trPr>
        <w:tc>
          <w:tcPr>
            <w:tcW w:type="dxa" w:w="424"/>
          </w:tcPr>
          <w:p w14:paraId="91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3</w:t>
            </w:r>
            <w:r>
              <w:rPr>
                <w:rFonts w:ascii="Times New Roman" w:hAnsi="Times New Roman"/>
                <w:color w:val="1F1D26"/>
              </w:rPr>
              <w:t>.</w:t>
            </w:r>
          </w:p>
        </w:tc>
        <w:tc>
          <w:tcPr>
            <w:tcW w:type="dxa" w:w="8931"/>
            <w:gridSpan w:val="6"/>
          </w:tcPr>
          <w:p w14:paraId="92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</w:t>
            </w:r>
            <w:r>
              <w:rPr>
                <w:rFonts w:ascii="Times New Roman" w:hAnsi="Times New Roman"/>
                <w:color w:val="1F1D26"/>
              </w:rPr>
              <w:t>бъявление предостережения</w:t>
            </w:r>
          </w:p>
        </w:tc>
      </w:tr>
      <w:tr>
        <w:tc>
          <w:tcPr>
            <w:tcW w:type="dxa" w:w="424"/>
          </w:tcPr>
          <w:p w14:paraId="93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а)</w:t>
            </w:r>
          </w:p>
        </w:tc>
        <w:tc>
          <w:tcPr>
            <w:tcW w:type="dxa" w:w="3638"/>
          </w:tcPr>
          <w:p w14:paraId="94010000">
            <w:pPr>
              <w:widowControl w:val="0"/>
              <w:ind w:firstLine="11" w:left="0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Направление контролируемым лицам</w:t>
            </w:r>
            <w:r>
              <w:rPr>
                <w:rFonts w:ascii="Times New Roman" w:hAnsi="Times New Roman"/>
                <w:color w:val="000000"/>
                <w:sz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на основе анализа исполнения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квот для приема инвалидов, </w:t>
            </w:r>
            <w:r>
              <w:rPr>
                <w:rFonts w:ascii="Times New Roman" w:hAnsi="Times New Roman"/>
                <w:color w:val="000000"/>
                <w:sz w:val="22"/>
              </w:rPr>
              <w:t>предостережений о недопустимости нарушения обязательных требований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</w:rPr>
              <w:t>в части выполнения обязанности по созданию и (или) выделению рабочих мест в соответствии с установленной квотой</w:t>
            </w:r>
          </w:p>
        </w:tc>
        <w:tc>
          <w:tcPr>
            <w:tcW w:type="dxa" w:w="1560"/>
            <w:gridSpan w:val="2"/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По </w:t>
            </w:r>
            <w:r>
              <w:rPr>
                <w:rFonts w:ascii="Times New Roman" w:hAnsi="Times New Roman"/>
                <w:color w:val="1F1D26"/>
              </w:rPr>
              <w:t>мере  выявления</w:t>
            </w:r>
            <w:r>
              <w:rPr>
                <w:rFonts w:ascii="Times New Roman" w:hAnsi="Times New Roman"/>
                <w:color w:val="1F1D26"/>
              </w:rPr>
              <w:t xml:space="preserve"> оснований   для выдачи</w:t>
            </w:r>
          </w:p>
          <w:p w14:paraId="96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предостережений</w:t>
            </w:r>
            <w:r>
              <w:rPr>
                <w:rFonts w:ascii="Times New Roman" w:hAnsi="Times New Roman"/>
                <w:color w:val="1F1D26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</w:rPr>
              <w:t>не позднее 30 дней со дня появления оснований</w:t>
            </w:r>
          </w:p>
        </w:tc>
        <w:tc>
          <w:tcPr>
            <w:tcW w:type="dxa" w:w="2032"/>
            <w:gridSpan w:val="2"/>
          </w:tcPr>
          <w:p w14:paraId="97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Предупреждение и профилактика правонарушений</w:t>
            </w:r>
          </w:p>
        </w:tc>
        <w:tc>
          <w:tcPr>
            <w:tcW w:type="dxa" w:w="1701"/>
          </w:tcPr>
          <w:p w14:paraId="98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Отдел организационно-правового обеспечения и контроля Министерство</w:t>
            </w:r>
          </w:p>
        </w:tc>
      </w:tr>
      <w:tr>
        <w:tc>
          <w:tcPr>
            <w:tcW w:type="dxa" w:w="424"/>
          </w:tcPr>
          <w:p w14:paraId="99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4</w:t>
            </w:r>
            <w:r>
              <w:rPr>
                <w:rFonts w:ascii="Times New Roman" w:hAnsi="Times New Roman"/>
                <w:color w:val="1F1D26"/>
              </w:rPr>
              <w:t>.</w:t>
            </w:r>
          </w:p>
        </w:tc>
        <w:tc>
          <w:tcPr>
            <w:tcW w:type="dxa" w:w="8931"/>
            <w:gridSpan w:val="6"/>
          </w:tcPr>
          <w:p w14:paraId="9A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Консультирование</w:t>
            </w:r>
          </w:p>
        </w:tc>
      </w:tr>
      <w:tr>
        <w:trPr>
          <w:trHeight w:hRule="atLeast" w:val="6958"/>
          <w:hidden w:val="0"/>
        </w:trPr>
        <w:tc>
          <w:tcPr>
            <w:tcW w:type="dxa" w:w="424"/>
          </w:tcPr>
          <w:p w14:paraId="9B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а)</w:t>
            </w:r>
          </w:p>
        </w:tc>
        <w:tc>
          <w:tcPr>
            <w:tcW w:type="dxa" w:w="3638"/>
          </w:tcPr>
          <w:p w14:paraId="9C010000">
            <w:pPr>
              <w:widowControl w:val="0"/>
              <w:ind w:firstLine="11" w:left="0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Осуществляется</w:t>
            </w:r>
            <w:r>
              <w:rPr>
                <w:rFonts w:ascii="Times New Roman" w:hAnsi="Times New Roman"/>
                <w:color w:val="1F1D26"/>
              </w:rPr>
      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</w:t>
            </w:r>
            <w:r>
              <w:rPr>
                <w:rFonts w:ascii="Times New Roman" w:hAnsi="Times New Roman"/>
                <w:color w:val="1F1D26"/>
              </w:rPr>
              <w:t xml:space="preserve"> по следующим вопросам:</w:t>
            </w:r>
          </w:p>
          <w:p w14:paraId="9D010000">
            <w:pPr>
              <w:numPr>
                <w:numId w:val="1"/>
              </w:num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с</w:t>
            </w:r>
            <w:r>
              <w:rPr>
                <w:rFonts w:ascii="Times New Roman" w:hAnsi="Times New Roman"/>
                <w:color w:val="000000"/>
                <w:sz w:val="22"/>
              </w:rPr>
              <w:t>облюдение обязательных требований в части выполнения обязанности по созданию и (или) выделению рабочих мест в соответствии с установленной квотой</w:t>
            </w:r>
            <w:r>
              <w:rPr>
                <w:rFonts w:ascii="Times New Roman" w:hAnsi="Times New Roman"/>
                <w:color w:val="000000"/>
                <w:sz w:val="22"/>
              </w:rPr>
              <w:t>;</w:t>
            </w:r>
          </w:p>
          <w:p w14:paraId="9E010000">
            <w:pPr>
              <w:numPr>
                <w:numId w:val="2"/>
              </w:num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формирование локального нормативного акта, содержащего сведения о созданных или выделенных рабочих местах для трудоустройства инвалидов в соответствии с установленной квотой;</w:t>
            </w:r>
          </w:p>
          <w:p w14:paraId="9F010000">
            <w:pPr>
              <w:numPr>
                <w:numId w:val="2"/>
              </w:num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е</w:t>
            </w:r>
            <w:r>
              <w:rPr>
                <w:rFonts w:ascii="Times New Roman" w:hAnsi="Times New Roman"/>
                <w:color w:val="000000"/>
                <w:sz w:val="22"/>
              </w:rPr>
              <w:t>жемесячное представление предусмотренной законом отчетности</w:t>
            </w:r>
            <w:r>
              <w:rPr>
                <w:rFonts w:ascii="Times New Roman" w:hAnsi="Times New Roman"/>
                <w:color w:val="000000"/>
                <w:sz w:val="22"/>
              </w:rPr>
              <w:t>;</w:t>
            </w:r>
          </w:p>
          <w:p w14:paraId="A0010000">
            <w:pPr>
              <w:numPr>
                <w:numId w:val="2"/>
              </w:num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иные вопросы</w:t>
            </w:r>
            <w:r>
              <w:rPr>
                <w:rFonts w:ascii="Times New Roman" w:hAnsi="Times New Roman"/>
                <w:color w:val="1F1D26"/>
              </w:rPr>
              <w:t>.</w:t>
            </w:r>
          </w:p>
        </w:tc>
        <w:tc>
          <w:tcPr>
            <w:tcW w:type="dxa" w:w="1560"/>
            <w:gridSpan w:val="2"/>
          </w:tcPr>
          <w:p w14:paraId="A1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По мере поступления обращений,</w:t>
            </w:r>
          </w:p>
          <w:p w14:paraId="A2010000">
            <w:pPr>
              <w:rPr>
                <w:rFonts w:ascii="Times New Roman" w:hAnsi="Times New Roman"/>
                <w:color w:val="1F1D26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При личном обращении, </w:t>
            </w:r>
            <w:r>
              <w:rPr>
                <w:rFonts w:ascii="Times New Roman" w:hAnsi="Times New Roman"/>
                <w:color w:val="000000"/>
                <w:sz w:val="22"/>
              </w:rPr>
              <w:t>по телефону, в том числе на «горячую линию»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- 15 минут с момента соединения с оператором; обращение в социальных сетях – в течение </w:t>
            </w:r>
            <w:r>
              <w:rPr>
                <w:rFonts w:ascii="Times New Roman" w:hAnsi="Times New Roman"/>
                <w:color w:val="000000"/>
                <w:sz w:val="22"/>
              </w:rPr>
              <w:t>рабочего дня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после поступления обращения; при письменном обращении – 30 дней с момента регистрации заявления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</w:p>
        </w:tc>
        <w:tc>
          <w:tcPr>
            <w:tcW w:type="dxa" w:w="2032"/>
            <w:gridSpan w:val="2"/>
          </w:tcPr>
          <w:p w14:paraId="A3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Предупреждение</w:t>
            </w:r>
            <w:r>
              <w:rPr>
                <w:rFonts w:ascii="Times New Roman" w:hAnsi="Times New Roman"/>
                <w:color w:val="1F1D26"/>
              </w:rPr>
              <w:tab/>
            </w:r>
            <w:r>
              <w:rPr>
                <w:rFonts w:ascii="Times New Roman" w:hAnsi="Times New Roman"/>
                <w:color w:val="1F1D26"/>
              </w:rPr>
              <w:t>и профилактика правонарушений</w:t>
            </w:r>
          </w:p>
        </w:tc>
        <w:tc>
          <w:tcPr>
            <w:tcW w:type="dxa" w:w="1701"/>
          </w:tcPr>
          <w:p w14:paraId="A4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Отдел </w:t>
            </w:r>
            <w:r>
              <w:rPr>
                <w:rFonts w:ascii="Times New Roman" w:hAnsi="Times New Roman"/>
                <w:color w:val="1F1D26"/>
              </w:rPr>
              <w:t>организационн</w:t>
            </w:r>
            <w:r>
              <w:rPr>
                <w:rFonts w:ascii="Times New Roman" w:hAnsi="Times New Roman"/>
                <w:color w:val="1F1D26"/>
              </w:rPr>
              <w:t xml:space="preserve"> о-правового обеспечения и контроля Министерства</w:t>
            </w:r>
          </w:p>
        </w:tc>
      </w:tr>
      <w:tr>
        <w:tc>
          <w:tcPr>
            <w:tcW w:type="dxa" w:w="424"/>
          </w:tcPr>
          <w:p w14:paraId="A5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5.</w:t>
            </w:r>
          </w:p>
        </w:tc>
        <w:tc>
          <w:tcPr>
            <w:tcW w:type="dxa" w:w="8931"/>
            <w:gridSpan w:val="6"/>
          </w:tcPr>
          <w:p w14:paraId="A6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</w:t>
            </w:r>
            <w:r>
              <w:rPr>
                <w:rFonts w:ascii="Times New Roman" w:hAnsi="Times New Roman"/>
                <w:color w:val="1F1D26"/>
              </w:rPr>
              <w:t>рофилактический визит</w:t>
            </w:r>
          </w:p>
        </w:tc>
      </w:tr>
      <w:tr>
        <w:trPr>
          <w:trHeight w:hRule="atLeast" w:val="3326"/>
        </w:trPr>
        <w:tc>
          <w:tcPr>
            <w:tcW w:type="dxa" w:w="424"/>
          </w:tcPr>
          <w:p w14:paraId="A7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а)</w:t>
            </w:r>
          </w:p>
        </w:tc>
        <w:tc>
          <w:tcPr>
            <w:tcW w:type="dxa" w:w="3638"/>
          </w:tcPr>
          <w:p w14:paraId="A8010000">
            <w:pPr>
              <w:widowControl w:val="0"/>
              <w:ind w:firstLine="11" w:left="0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Обязательные профилактические визиты проводятся в отношении контролируемых лиц, приступающих к осуществлению деятельности и объектов, отнесенных к категориям высокого, значительного риска</w:t>
            </w:r>
          </w:p>
        </w:tc>
        <w:tc>
          <w:tcPr>
            <w:tcW w:type="dxa" w:w="1560"/>
            <w:gridSpan w:val="2"/>
          </w:tcPr>
          <w:p w14:paraId="A9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4 квартал 202</w:t>
            </w:r>
            <w:r>
              <w:rPr>
                <w:rFonts w:ascii="Times New Roman" w:hAnsi="Times New Roman"/>
                <w:color w:val="1F1D26"/>
              </w:rPr>
              <w:t>4</w:t>
            </w:r>
            <w:r>
              <w:rPr>
                <w:rFonts w:ascii="Times New Roman" w:hAnsi="Times New Roman"/>
                <w:color w:val="1F1D26"/>
              </w:rPr>
              <w:t xml:space="preserve"> года, </w:t>
            </w:r>
          </w:p>
          <w:p w14:paraId="AA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но н</w:t>
            </w:r>
            <w:r>
              <w:rPr>
                <w:rFonts w:ascii="Times New Roman" w:hAnsi="Times New Roman"/>
                <w:color w:val="1F1D26"/>
              </w:rPr>
              <w:t xml:space="preserve">е позднее чем в течение одного года с момента начала </w:t>
            </w:r>
            <w:r>
              <w:rPr>
                <w:rFonts w:ascii="Times New Roman" w:hAnsi="Times New Roman"/>
                <w:color w:val="1F1D26"/>
              </w:rPr>
              <w:t xml:space="preserve">контролируемым лицом </w:t>
            </w:r>
            <w:r>
              <w:rPr>
                <w:rFonts w:ascii="Times New Roman" w:hAnsi="Times New Roman"/>
                <w:color w:val="1F1D26"/>
              </w:rPr>
              <w:t>осуществления деятельности</w:t>
            </w:r>
          </w:p>
        </w:tc>
        <w:tc>
          <w:tcPr>
            <w:tcW w:type="dxa" w:w="2032"/>
            <w:gridSpan w:val="2"/>
          </w:tcPr>
          <w:p w14:paraId="AB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Предупреждение</w:t>
            </w:r>
            <w:r>
              <w:rPr>
                <w:rFonts w:ascii="Times New Roman" w:hAnsi="Times New Roman"/>
                <w:color w:val="1F1D26"/>
              </w:rPr>
              <w:tab/>
            </w:r>
            <w:r>
              <w:rPr>
                <w:rFonts w:ascii="Times New Roman" w:hAnsi="Times New Roman"/>
                <w:color w:val="1F1D26"/>
              </w:rPr>
              <w:t>и профилактика правонарушений</w:t>
            </w:r>
          </w:p>
        </w:tc>
        <w:tc>
          <w:tcPr>
            <w:tcW w:type="dxa" w:w="1701"/>
          </w:tcPr>
          <w:p w14:paraId="AC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Отдел </w:t>
            </w:r>
            <w:r>
              <w:rPr>
                <w:rFonts w:ascii="Times New Roman" w:hAnsi="Times New Roman"/>
                <w:color w:val="1F1D26"/>
              </w:rPr>
              <w:t>организационн</w:t>
            </w:r>
            <w:r>
              <w:rPr>
                <w:rFonts w:ascii="Times New Roman" w:hAnsi="Times New Roman"/>
                <w:color w:val="1F1D26"/>
              </w:rPr>
              <w:t xml:space="preserve"> о-правового обеспечения и контроля Министерства</w:t>
            </w:r>
          </w:p>
        </w:tc>
      </w:tr>
      <w:tr>
        <w:trPr>
          <w:trHeight w:hRule="atLeast" w:val="3326"/>
        </w:trPr>
        <w:tc>
          <w:tcPr>
            <w:tcW w:type="dxa" w:w="424"/>
          </w:tcPr>
          <w:p w14:paraId="AD010000">
            <w:pPr>
              <w:ind/>
              <w:jc w:val="center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б)</w:t>
            </w:r>
          </w:p>
        </w:tc>
        <w:tc>
          <w:tcPr>
            <w:tcW w:type="dxa" w:w="3638"/>
          </w:tcPr>
          <w:p w14:paraId="AE010000">
            <w:pPr>
              <w:widowControl w:val="0"/>
              <w:ind w:firstLine="11" w:left="0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Профилактические визиты по инициативе контролируемого лица</w:t>
            </w:r>
          </w:p>
        </w:tc>
        <w:tc>
          <w:tcPr>
            <w:tcW w:type="dxa" w:w="7"/>
          </w:tcPr>
          <w:p w14:paraId="AF010000">
            <w:pPr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Не </w:t>
            </w:r>
          </w:p>
        </w:tc>
        <w:tc>
          <w:tcPr>
            <w:tcW w:type="dxa" w:w="1553"/>
          </w:tcPr>
          <w:p w14:paraId="B0010000">
            <w:pPr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не позднее 30 дней со дня </w:t>
            </w:r>
            <w:r>
              <w:rPr>
                <w:rFonts w:ascii="Times New Roman" w:hAnsi="Times New Roman"/>
                <w:color w:val="000000"/>
                <w:sz w:val="22"/>
              </w:rPr>
              <w:t>обращения контролируемого лица</w:t>
            </w:r>
          </w:p>
        </w:tc>
        <w:tc>
          <w:tcPr>
            <w:tcW w:type="dxa" w:w="7"/>
          </w:tcPr>
          <w:p w14:paraId="B1010000">
            <w:pPr>
              <w:rPr>
                <w:rFonts w:ascii="Times New Roman" w:hAnsi="Times New Roman"/>
                <w:color w:val="1F1D26"/>
              </w:rPr>
            </w:pPr>
          </w:p>
        </w:tc>
        <w:tc>
          <w:tcPr>
            <w:tcW w:type="dxa" w:w="2025"/>
          </w:tcPr>
          <w:p w14:paraId="B2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Предупреждение</w:t>
            </w:r>
            <w:r>
              <w:rPr>
                <w:rFonts w:ascii="Times New Roman" w:hAnsi="Times New Roman"/>
                <w:color w:val="1F1D26"/>
              </w:rPr>
              <w:tab/>
            </w:r>
            <w:r>
              <w:rPr>
                <w:rFonts w:ascii="Times New Roman" w:hAnsi="Times New Roman"/>
                <w:color w:val="1F1D26"/>
              </w:rPr>
              <w:t>и профилактика правонарушений</w:t>
            </w:r>
          </w:p>
          <w:p w14:paraId="B3010000">
            <w:pPr>
              <w:rPr>
                <w:rFonts w:ascii="Times New Roman" w:hAnsi="Times New Roman"/>
                <w:color w:val="1F1D26"/>
              </w:rPr>
            </w:pPr>
          </w:p>
        </w:tc>
        <w:tc>
          <w:tcPr>
            <w:tcW w:type="dxa" w:w="1701"/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Отдел </w:t>
            </w:r>
            <w:r>
              <w:rPr>
                <w:rFonts w:ascii="Times New Roman" w:hAnsi="Times New Roman"/>
                <w:color w:val="1F1D26"/>
              </w:rPr>
              <w:t>организационн</w:t>
            </w:r>
            <w:r>
              <w:rPr>
                <w:rFonts w:ascii="Times New Roman" w:hAnsi="Times New Roman"/>
                <w:color w:val="1F1D26"/>
              </w:rPr>
              <w:t xml:space="preserve"> о-правового обеспечения и контроля Министерства</w:t>
            </w:r>
          </w:p>
          <w:p w14:paraId="B5010000">
            <w:pPr>
              <w:rPr>
                <w:rFonts w:ascii="Times New Roman" w:hAnsi="Times New Roman"/>
                <w:color w:val="1F1D26"/>
              </w:rPr>
            </w:pPr>
          </w:p>
        </w:tc>
      </w:tr>
    </w:tbl>
    <w:p w14:paraId="B6010000">
      <w:pPr>
        <w:spacing w:after="0" w:line="240" w:lineRule="auto"/>
        <w:ind/>
        <w:jc w:val="center"/>
        <w:rPr>
          <w:rFonts w:ascii="Times New Roman" w:hAnsi="Times New Roman"/>
          <w:color w:val="1F1D26"/>
          <w:sz w:val="28"/>
        </w:rPr>
      </w:pPr>
    </w:p>
    <w:p w14:paraId="B7010000">
      <w:pPr>
        <w:spacing w:after="0" w:line="240" w:lineRule="auto"/>
        <w:ind w:firstLine="709" w:left="0"/>
        <w:jc w:val="center"/>
        <w:rPr>
          <w:rFonts w:ascii="Times New Roman" w:hAnsi="Times New Roman"/>
          <w:color w:val="1F1D26"/>
          <w:sz w:val="28"/>
        </w:rPr>
      </w:pPr>
      <w:r>
        <w:rPr>
          <w:rFonts w:ascii="Times New Roman" w:hAnsi="Times New Roman"/>
          <w:color w:val="1F1D26"/>
          <w:sz w:val="28"/>
        </w:rPr>
        <w:t xml:space="preserve">Раздел </w:t>
      </w:r>
      <w:r>
        <w:rPr>
          <w:rFonts w:ascii="Times New Roman" w:hAnsi="Times New Roman"/>
          <w:color w:val="1F1D26"/>
          <w:sz w:val="28"/>
        </w:rPr>
        <w:t>4</w:t>
      </w:r>
      <w:r>
        <w:rPr>
          <w:rFonts w:ascii="Times New Roman" w:hAnsi="Times New Roman"/>
          <w:color w:val="1F1D26"/>
          <w:sz w:val="28"/>
        </w:rPr>
        <w:t xml:space="preserve">. </w:t>
      </w:r>
      <w:r>
        <w:rPr>
          <w:rFonts w:ascii="Times New Roman" w:hAnsi="Times New Roman"/>
          <w:color w:val="1F1D26"/>
          <w:sz w:val="28"/>
        </w:rPr>
        <w:t>Показатели результативности и эффективности</w:t>
      </w:r>
      <w:r>
        <w:rPr>
          <w:rFonts w:ascii="Times New Roman" w:hAnsi="Times New Roman"/>
          <w:color w:val="1F1D26"/>
          <w:sz w:val="28"/>
        </w:rPr>
        <w:t xml:space="preserve"> Программы</w:t>
      </w:r>
    </w:p>
    <w:p w14:paraId="B8010000">
      <w:pPr>
        <w:spacing w:after="0" w:line="240" w:lineRule="auto"/>
        <w:ind w:firstLine="709" w:left="0"/>
        <w:jc w:val="both"/>
        <w:rPr>
          <w:rFonts w:ascii="Times New Roman" w:hAnsi="Times New Roman"/>
          <w:color w:val="1F1D26"/>
          <w:sz w:val="20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45"/>
        <w:gridCol w:w="3636"/>
        <w:gridCol w:w="1320"/>
        <w:gridCol w:w="1095"/>
        <w:gridCol w:w="1560"/>
      </w:tblGrid>
      <w:tr>
        <w:trPr>
          <w:trHeight w:hRule="atLeast" w:val="825"/>
        </w:trPr>
        <w:tc>
          <w:tcPr>
            <w:tcW w:type="dxa" w:w="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№ п/п</w:t>
            </w:r>
          </w:p>
        </w:tc>
        <w:tc>
          <w:tcPr>
            <w:tcW w:type="dxa" w:w="36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Наименование показателя результативности </w:t>
            </w:r>
            <w:r>
              <w:rPr>
                <w:rFonts w:ascii="Times New Roman" w:hAnsi="Times New Roman"/>
                <w:b w:val="1"/>
                <w:sz w:val="20"/>
              </w:rPr>
              <w:br/>
            </w:r>
            <w:r>
              <w:rPr>
                <w:rFonts w:ascii="Times New Roman" w:hAnsi="Times New Roman"/>
                <w:b w:val="1"/>
                <w:sz w:val="20"/>
              </w:rPr>
              <w:t>и эффективности программы</w:t>
            </w:r>
          </w:p>
        </w:tc>
        <w:tc>
          <w:tcPr>
            <w:tcW w:type="dxa" w:w="13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Единица измерения (единица, процент)</w:t>
            </w:r>
          </w:p>
        </w:tc>
        <w:tc>
          <w:tcPr>
            <w:tcW w:type="dxa" w:w="10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Целевое значение показателя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Прогнозное значение показателя</w:t>
            </w:r>
          </w:p>
        </w:tc>
      </w:tr>
      <w:tr>
        <w:trPr>
          <w:trHeight w:hRule="atLeast" w:val="356"/>
        </w:trPr>
        <w:tc>
          <w:tcPr>
            <w:tcW w:type="dxa" w:w="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6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 год</w:t>
            </w:r>
          </w:p>
        </w:tc>
      </w:tr>
      <w:tr>
        <w:trPr>
          <w:trHeight w:hRule="atLeast" w:val="163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36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z w:val="20"/>
              </w:rPr>
              <w:t>ыполнение работодателями обязанности по созданию (выделению) рабочих мест в счет установленной квоты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на конец года</w:t>
            </w:r>
          </w:p>
          <w:p w14:paraId="C1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в государственных учреждениях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100%</w:t>
            </w:r>
          </w:p>
          <w:p w14:paraId="C4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C5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C6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100%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100%</w:t>
            </w:r>
          </w:p>
          <w:p w14:paraId="C8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C9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CA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100%</w:t>
            </w:r>
          </w:p>
        </w:tc>
      </w:tr>
      <w:tr>
        <w:trPr>
          <w:trHeight w:hRule="atLeast" w:val="163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36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Выполнение работодателями обязанности по оформлению в установленном порядке работодателем трудовых отношений с инвалидами в рамках исполнения обязанности по трудоустройству инвалидов в соответствии с установленной квотой</w:t>
            </w:r>
            <w:r>
              <w:rPr>
                <w:rFonts w:ascii="Times New Roman" w:hAnsi="Times New Roman"/>
                <w:sz w:val="20"/>
              </w:rPr>
              <w:t xml:space="preserve"> на конец года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100%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100%</w:t>
            </w:r>
          </w:p>
        </w:tc>
      </w:tr>
      <w:tr>
        <w:trPr>
          <w:trHeight w:hRule="atLeast" w:val="163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36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объектов контроля, в отношении которых проведены профилактические мероприятия от общего числа контролируемых лиц </w:t>
            </w:r>
            <w:r>
              <w:rPr>
                <w:rFonts w:ascii="Times New Roman" w:hAnsi="Times New Roman"/>
                <w:sz w:val="20"/>
              </w:rPr>
              <w:t>в течение года</w:t>
            </w:r>
            <w:r>
              <w:rPr>
                <w:rFonts w:ascii="Times New Roman" w:hAnsi="Times New Roman"/>
                <w:sz w:val="20"/>
              </w:rPr>
              <w:t xml:space="preserve"> с нарастающим итогом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100%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100%</w:t>
            </w:r>
          </w:p>
        </w:tc>
      </w:tr>
    </w:tbl>
    <w:p w14:paraId="D5010000">
      <w:pPr>
        <w:widowControl w:val="1"/>
        <w:ind/>
        <w:jc w:val="both"/>
        <w:rPr>
          <w:rFonts w:ascii="Times New Roman" w:hAnsi="Times New Roman"/>
          <w:sz w:val="20"/>
        </w:rPr>
      </w:pPr>
    </w:p>
    <w:p w14:paraId="D6010000">
      <w:pPr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</w:t>
      </w:r>
      <w:r>
        <w:rPr>
          <w:rFonts w:ascii="Times New Roman" w:hAnsi="Times New Roman"/>
          <w:sz w:val="20"/>
        </w:rPr>
        <w:t>асчет показателей результативности и эффективности программы профилактики осуществляется в рамках подготовки сведений (докладов) об итогах реализации программы профилактики до 01.03.2024.</w:t>
      </w:r>
      <w:r>
        <w:rPr>
          <w:rFonts w:ascii="Times New Roman" w:hAnsi="Times New Roman"/>
          <w:color w:val="1F1D26"/>
          <w:sz w:val="20"/>
        </w:rPr>
        <w:t>.</w:t>
      </w:r>
    </w:p>
    <w:p w14:paraId="D7010000">
      <w:pPr>
        <w:rPr>
          <w:rFonts w:ascii="Times New Roman" w:hAnsi="Times New Roman"/>
          <w:sz w:val="20"/>
        </w:rPr>
      </w:pPr>
    </w:p>
    <w:sectPr>
      <w:headerReference r:id="rId1" w:type="default"/>
      <w:pgSz w:h="16840" w:orient="portrait" w:w="11910"/>
      <w:pgMar w:bottom="1134" w:footer="720" w:gutter="0" w:header="720" w:left="1457" w:right="403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ody Text"/>
    <w:basedOn w:val="Style_5"/>
    <w:link w:val="Style_7_ch"/>
    <w:pPr>
      <w:spacing w:after="120"/>
      <w:ind/>
    </w:pPr>
  </w:style>
  <w:style w:styleId="Style_7_ch" w:type="character">
    <w:name w:val="Body Text"/>
    <w:basedOn w:val="Style_5_ch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ConsNormal"/>
    <w:link w:val="Style_11_ch"/>
    <w:pPr>
      <w:spacing w:after="0" w:line="240" w:lineRule="auto"/>
      <w:ind w:firstLine="720" w:left="0" w:right="19772"/>
    </w:pPr>
    <w:rPr>
      <w:rFonts w:ascii="Arial" w:hAnsi="Arial"/>
      <w:sz w:val="20"/>
    </w:rPr>
  </w:style>
  <w:style w:styleId="Style_11_ch" w:type="character">
    <w:name w:val="ConsNormal"/>
    <w:link w:val="Style_11"/>
    <w:rPr>
      <w:rFonts w:ascii="Arial" w:hAnsi="Arial"/>
      <w:sz w:val="20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сновной текст с отступом 21"/>
    <w:basedOn w:val="Style_5"/>
    <w:link w:val="Style_14_ch"/>
    <w:pPr>
      <w:spacing w:after="0" w:line="240" w:lineRule="auto"/>
      <w:ind w:firstLine="360" w:left="0"/>
      <w:jc w:val="both"/>
    </w:pPr>
    <w:rPr>
      <w:rFonts w:ascii="Arial" w:hAnsi="Arial"/>
      <w:sz w:val="28"/>
    </w:rPr>
  </w:style>
  <w:style w:styleId="Style_14_ch" w:type="character">
    <w:name w:val="Основной текст с отступом 21"/>
    <w:basedOn w:val="Style_5_ch"/>
    <w:link w:val="Style_14"/>
    <w:rPr>
      <w:rFonts w:ascii="Arial" w:hAnsi="Arial"/>
      <w:sz w:val="28"/>
    </w:rPr>
  </w:style>
  <w:style w:styleId="Style_15" w:type="paragraph">
    <w:name w:val="List Paragraph"/>
    <w:basedOn w:val="Style_5"/>
    <w:link w:val="Style_15_ch"/>
    <w:pPr>
      <w:ind w:firstLine="0" w:left="720"/>
      <w:contextualSpacing w:val="1"/>
    </w:pPr>
    <w:rPr>
      <w:rFonts w:ascii="Calibri" w:hAnsi="Calibri"/>
    </w:rPr>
  </w:style>
  <w:style w:styleId="Style_15_ch" w:type="character">
    <w:name w:val="List Paragraph"/>
    <w:basedOn w:val="Style_5_ch"/>
    <w:link w:val="Style_15"/>
    <w:rPr>
      <w:rFonts w:ascii="Calibri" w:hAnsi="Calibri"/>
    </w:rPr>
  </w:style>
  <w:style w:styleId="Style_16" w:type="paragraph">
    <w:name w:val="Body Text Indent 3"/>
    <w:basedOn w:val="Style_5"/>
    <w:link w:val="Style_16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16_ch" w:type="character">
    <w:name w:val="Body Text Indent 3"/>
    <w:basedOn w:val="Style_5_ch"/>
    <w:link w:val="Style_16"/>
    <w:rPr>
      <w:rFonts w:ascii="Times New Roman" w:hAnsi="Times New Roman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footnote reference"/>
    <w:basedOn w:val="Style_17"/>
    <w:link w:val="Style_18_ch"/>
    <w:rPr>
      <w:vertAlign w:val="superscript"/>
    </w:rPr>
  </w:style>
  <w:style w:styleId="Style_18_ch" w:type="character">
    <w:name w:val="footnote reference"/>
    <w:basedOn w:val="Style_17_ch"/>
    <w:link w:val="Style_18"/>
    <w:rPr>
      <w:vertAlign w:val="superscript"/>
    </w:rPr>
  </w:style>
  <w:style w:styleId="Style_19" w:type="paragraph">
    <w:name w:val="tekstob"/>
    <w:basedOn w:val="Style_5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tekstob"/>
    <w:basedOn w:val="Style_5_ch"/>
    <w:link w:val="Style_19"/>
    <w:rPr>
      <w:rFonts w:ascii="Times New Roman" w:hAnsi="Times New Roman"/>
      <w:sz w:val="24"/>
    </w:rPr>
  </w:style>
  <w:style w:styleId="Style_20" w:type="paragraph">
    <w:name w:val="footer"/>
    <w:basedOn w:val="Style_5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footer"/>
    <w:basedOn w:val="Style_5_ch"/>
    <w:link w:val="Style_20"/>
  </w:style>
  <w:style w:styleId="Style_21" w:type="paragraph">
    <w:name w:val="toc 3"/>
    <w:next w:val="Style_5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ConsPlusNormal"/>
    <w:link w:val="Style_2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2_ch" w:type="character">
    <w:name w:val="ConsPlusNormal"/>
    <w:link w:val="Style_22"/>
    <w:rPr>
      <w:rFonts w:ascii="Arial" w:hAnsi="Arial"/>
      <w:sz w:val="20"/>
    </w:rPr>
  </w:style>
  <w:style w:styleId="Style_23" w:type="paragraph">
    <w:name w:val="Table Paragraph"/>
    <w:basedOn w:val="Style_5"/>
    <w:link w:val="Style_23_ch"/>
    <w:pPr>
      <w:widowControl w:val="0"/>
      <w:spacing w:after="0" w:line="240" w:lineRule="auto"/>
      <w:ind/>
    </w:pPr>
    <w:rPr>
      <w:rFonts w:ascii="Times New Roman" w:hAnsi="Times New Roman"/>
    </w:rPr>
  </w:style>
  <w:style w:styleId="Style_23_ch" w:type="character">
    <w:name w:val="Table Paragraph"/>
    <w:basedOn w:val="Style_5_ch"/>
    <w:link w:val="Style_23"/>
    <w:rPr>
      <w:rFonts w:ascii="Times New Roman" w:hAnsi="Times New Roman"/>
    </w:rPr>
  </w:style>
  <w:style w:styleId="Style_24" w:type="paragraph">
    <w:name w:val="heading 5"/>
    <w:next w:val="Style_5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annotation reference"/>
    <w:link w:val="Style_25_ch"/>
    <w:rPr>
      <w:sz w:val="16"/>
    </w:rPr>
  </w:style>
  <w:style w:styleId="Style_25_ch" w:type="character">
    <w:name w:val="annotation reference"/>
    <w:link w:val="Style_25"/>
    <w:rPr>
      <w:sz w:val="16"/>
    </w:rPr>
  </w:style>
  <w:style w:styleId="Style_26" w:type="paragraph">
    <w:name w:val="Знак"/>
    <w:basedOn w:val="Style_5"/>
    <w:link w:val="Style_26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6_ch" w:type="character">
    <w:name w:val="Знак"/>
    <w:basedOn w:val="Style_5_ch"/>
    <w:link w:val="Style_26"/>
    <w:rPr>
      <w:rFonts w:ascii="Tahoma" w:hAnsi="Tahoma"/>
      <w:sz w:val="20"/>
    </w:rPr>
  </w:style>
  <w:style w:styleId="Style_27" w:type="paragraph">
    <w:name w:val="heading 1"/>
    <w:basedOn w:val="Style_5"/>
    <w:next w:val="Style_5"/>
    <w:link w:val="Style_27_ch"/>
    <w:uiPriority w:val="9"/>
    <w:qFormat/>
    <w:pPr>
      <w:keepNext w:val="1"/>
      <w:spacing w:after="60" w:before="240" w:line="360" w:lineRule="auto"/>
      <w:ind w:firstLine="709" w:left="0"/>
      <w:jc w:val="both"/>
      <w:outlineLvl w:val="0"/>
    </w:pPr>
    <w:rPr>
      <w:rFonts w:ascii="Arial" w:hAnsi="Arial"/>
      <w:b w:val="1"/>
      <w:sz w:val="32"/>
    </w:rPr>
  </w:style>
  <w:style w:styleId="Style_27_ch" w:type="character">
    <w:name w:val="heading 1"/>
    <w:basedOn w:val="Style_5_ch"/>
    <w:link w:val="Style_27"/>
    <w:rPr>
      <w:rFonts w:ascii="Arial" w:hAnsi="Arial"/>
      <w:b w:val="1"/>
      <w:sz w:val="32"/>
    </w:rPr>
  </w:style>
  <w:style w:styleId="Style_28" w:type="paragraph">
    <w:name w:val="Hyperlink"/>
    <w:link w:val="Style_28_ch"/>
    <w:rPr>
      <w:strike w:val="0"/>
      <w:color w:val="0083C9"/>
      <w:u w:val="none"/>
    </w:rPr>
  </w:style>
  <w:style w:styleId="Style_28_ch" w:type="character">
    <w:name w:val="Hyperlink"/>
    <w:link w:val="Style_28"/>
    <w:rPr>
      <w:strike w:val="0"/>
      <w:color w:val="0083C9"/>
      <w:u w:val="none"/>
    </w:rPr>
  </w:style>
  <w:style w:styleId="Style_29" w:type="paragraph">
    <w:name w:val="Footnote"/>
    <w:basedOn w:val="Style_5"/>
    <w:link w:val="Style_29_ch"/>
    <w:pPr>
      <w:spacing w:after="0" w:line="240" w:lineRule="auto"/>
      <w:ind/>
    </w:pPr>
    <w:rPr>
      <w:sz w:val="20"/>
    </w:rPr>
  </w:style>
  <w:style w:styleId="Style_29_ch" w:type="character">
    <w:name w:val="Footnote"/>
    <w:basedOn w:val="Style_5_ch"/>
    <w:link w:val="Style_29"/>
    <w:rPr>
      <w:sz w:val="20"/>
    </w:rPr>
  </w:style>
  <w:style w:styleId="Style_30" w:type="paragraph">
    <w:name w:val="toc 1"/>
    <w:next w:val="Style_5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annotation text"/>
    <w:basedOn w:val="Style_5"/>
    <w:link w:val="Style_32_ch"/>
    <w:pPr>
      <w:spacing w:after="0" w:line="240" w:lineRule="auto"/>
      <w:ind/>
    </w:pPr>
    <w:rPr>
      <w:rFonts w:ascii="Times New Roman" w:hAnsi="Times New Roman"/>
      <w:sz w:val="20"/>
    </w:rPr>
  </w:style>
  <w:style w:styleId="Style_32_ch" w:type="character">
    <w:name w:val="annotation text"/>
    <w:basedOn w:val="Style_5_ch"/>
    <w:link w:val="Style_32"/>
    <w:rPr>
      <w:rFonts w:ascii="Times New Roman" w:hAnsi="Times New Roman"/>
      <w:sz w:val="20"/>
    </w:rPr>
  </w:style>
  <w:style w:styleId="Style_33" w:type="paragraph">
    <w:name w:val="apple-converted-space"/>
    <w:basedOn w:val="Style_17"/>
    <w:link w:val="Style_33_ch"/>
  </w:style>
  <w:style w:styleId="Style_33_ch" w:type="character">
    <w:name w:val="apple-converted-space"/>
    <w:basedOn w:val="Style_17_ch"/>
    <w:link w:val="Style_33"/>
  </w:style>
  <w:style w:styleId="Style_34" w:type="paragraph">
    <w:name w:val="toc 9"/>
    <w:next w:val="Style_5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Font Style20"/>
    <w:link w:val="Style_35_ch"/>
    <w:rPr>
      <w:rFonts w:ascii="Times New Roman" w:hAnsi="Times New Roman"/>
      <w:sz w:val="18"/>
    </w:rPr>
  </w:style>
  <w:style w:styleId="Style_35_ch" w:type="character">
    <w:name w:val="Font Style20"/>
    <w:link w:val="Style_35"/>
    <w:rPr>
      <w:rFonts w:ascii="Times New Roman" w:hAnsi="Times New Roman"/>
      <w:sz w:val="18"/>
    </w:rPr>
  </w:style>
  <w:style w:styleId="Style_36" w:type="paragraph">
    <w:name w:val="toc 8"/>
    <w:next w:val="Style_5"/>
    <w:link w:val="Style_3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Знак Знак Знак Знак"/>
    <w:basedOn w:val="Style_5"/>
    <w:next w:val="Style_5"/>
    <w:link w:val="Style_37_ch"/>
    <w:pPr>
      <w:spacing w:after="160" w:line="240" w:lineRule="exact"/>
      <w:ind/>
    </w:pPr>
    <w:rPr>
      <w:rFonts w:ascii="Arial" w:hAnsi="Arial"/>
      <w:sz w:val="20"/>
    </w:rPr>
  </w:style>
  <w:style w:styleId="Style_37_ch" w:type="character">
    <w:name w:val="Знак Знак Знак Знак"/>
    <w:basedOn w:val="Style_5_ch"/>
    <w:link w:val="Style_37"/>
    <w:rPr>
      <w:rFonts w:ascii="Arial" w:hAnsi="Arial"/>
      <w:sz w:val="20"/>
    </w:rPr>
  </w:style>
  <w:style w:styleId="Style_38" w:type="paragraph">
    <w:name w:val="ConsPlusTitle"/>
    <w:link w:val="Style_38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38_ch" w:type="character">
    <w:name w:val="ConsPlusTitle"/>
    <w:link w:val="Style_38"/>
    <w:rPr>
      <w:rFonts w:ascii="Arial" w:hAnsi="Arial"/>
      <w:b w:val="1"/>
      <w:sz w:val="20"/>
    </w:rPr>
  </w:style>
  <w:style w:styleId="Style_39" w:type="paragraph">
    <w:name w:val="Normal (Web)"/>
    <w:basedOn w:val="Style_5"/>
    <w:link w:val="Style_3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9_ch" w:type="character">
    <w:name w:val="Normal (Web)"/>
    <w:basedOn w:val="Style_5_ch"/>
    <w:link w:val="Style_39"/>
    <w:rPr>
      <w:rFonts w:ascii="Times New Roman" w:hAnsi="Times New Roman"/>
      <w:sz w:val="24"/>
    </w:rPr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Гипертекстовая ссылка"/>
    <w:basedOn w:val="Style_17"/>
    <w:link w:val="Style_41_ch"/>
    <w:rPr>
      <w:color w:val="106BBE"/>
    </w:rPr>
  </w:style>
  <w:style w:styleId="Style_41_ch" w:type="character">
    <w:name w:val="Гипертекстовая ссылка"/>
    <w:basedOn w:val="Style_17_ch"/>
    <w:link w:val="Style_41"/>
    <w:rPr>
      <w:color w:val="106BBE"/>
    </w:rPr>
  </w:style>
  <w:style w:styleId="Style_42" w:type="paragraph">
    <w:name w:val="Subtitle"/>
    <w:next w:val="Style_5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Title"/>
    <w:next w:val="Style_5"/>
    <w:link w:val="Style_4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sz w:val="40"/>
    </w:rPr>
  </w:style>
  <w:style w:styleId="Style_44" w:type="paragraph">
    <w:name w:val="heading 4"/>
    <w:basedOn w:val="Style_5"/>
    <w:next w:val="Style_5"/>
    <w:link w:val="Style_44_ch"/>
    <w:uiPriority w:val="9"/>
    <w:qFormat/>
    <w:pPr>
      <w:keepNext w:val="1"/>
      <w:spacing w:after="60" w:before="240" w:line="360" w:lineRule="auto"/>
      <w:ind w:firstLine="709" w:left="0"/>
      <w:jc w:val="both"/>
      <w:outlineLvl w:val="3"/>
    </w:pPr>
    <w:rPr>
      <w:rFonts w:ascii="Times New Roman" w:hAnsi="Times New Roman"/>
      <w:b w:val="1"/>
      <w:sz w:val="28"/>
    </w:rPr>
  </w:style>
  <w:style w:styleId="Style_44_ch" w:type="character">
    <w:name w:val="heading 4"/>
    <w:basedOn w:val="Style_5_ch"/>
    <w:link w:val="Style_44"/>
    <w:rPr>
      <w:rFonts w:ascii="Times New Roman" w:hAnsi="Times New Roman"/>
      <w:b w:val="1"/>
      <w:sz w:val="28"/>
    </w:rPr>
  </w:style>
  <w:style w:styleId="Style_45" w:type="paragraph">
    <w:name w:val="Balloon Text"/>
    <w:basedOn w:val="Style_5"/>
    <w:link w:val="Style_45_ch"/>
    <w:pPr>
      <w:spacing w:after="0" w:line="240" w:lineRule="auto"/>
      <w:ind/>
    </w:pPr>
    <w:rPr>
      <w:rFonts w:ascii="Tahoma" w:hAnsi="Tahoma"/>
      <w:sz w:val="16"/>
    </w:rPr>
  </w:style>
  <w:style w:styleId="Style_45_ch" w:type="character">
    <w:name w:val="Balloon Text"/>
    <w:basedOn w:val="Style_5_ch"/>
    <w:link w:val="Style_45"/>
    <w:rPr>
      <w:rFonts w:ascii="Tahoma" w:hAnsi="Tahoma"/>
      <w:sz w:val="16"/>
    </w:rPr>
  </w:style>
  <w:style w:styleId="Style_46" w:type="paragraph">
    <w:name w:val="heading 2"/>
    <w:basedOn w:val="Style_5"/>
    <w:next w:val="Style_5"/>
    <w:link w:val="Style_46_ch"/>
    <w:uiPriority w:val="9"/>
    <w:qFormat/>
    <w:pPr>
      <w:keepNext w:val="1"/>
      <w:spacing w:after="60" w:before="240" w:line="360" w:lineRule="auto"/>
      <w:ind w:firstLine="709" w:left="0"/>
      <w:jc w:val="both"/>
      <w:outlineLvl w:val="1"/>
    </w:pPr>
    <w:rPr>
      <w:rFonts w:ascii="Arial" w:hAnsi="Arial"/>
      <w:b w:val="1"/>
      <w:i w:val="1"/>
      <w:sz w:val="28"/>
    </w:rPr>
  </w:style>
  <w:style w:styleId="Style_46_ch" w:type="character">
    <w:name w:val="heading 2"/>
    <w:basedOn w:val="Style_5_ch"/>
    <w:link w:val="Style_46"/>
    <w:rPr>
      <w:rFonts w:ascii="Arial" w:hAnsi="Arial"/>
      <w:b w:val="1"/>
      <w:i w:val="1"/>
      <w:sz w:val="28"/>
    </w:rPr>
  </w:style>
  <w:style w:styleId="Style_47" w:type="paragraph">
    <w:name w:val="heading 6"/>
    <w:basedOn w:val="Style_5"/>
    <w:next w:val="Style_5"/>
    <w:link w:val="Style_47_ch"/>
    <w:uiPriority w:val="9"/>
    <w:qFormat/>
    <w:pPr>
      <w:keepNext w:val="1"/>
      <w:keepLines w:val="1"/>
      <w:spacing w:after="0" w:before="200" w:line="240" w:lineRule="auto"/>
      <w:ind w:firstLine="709" w:left="0"/>
      <w:jc w:val="both"/>
      <w:outlineLvl w:val="5"/>
    </w:pPr>
    <w:rPr>
      <w:rFonts w:ascii="Cambria" w:hAnsi="Cambria"/>
      <w:i w:val="1"/>
      <w:color w:val="243F60"/>
      <w:sz w:val="20"/>
    </w:rPr>
  </w:style>
  <w:style w:styleId="Style_47_ch" w:type="character">
    <w:name w:val="heading 6"/>
    <w:basedOn w:val="Style_5_ch"/>
    <w:link w:val="Style_47"/>
    <w:rPr>
      <w:rFonts w:ascii="Cambria" w:hAnsi="Cambria"/>
      <w:i w:val="1"/>
      <w:color w:val="243F60"/>
      <w:sz w:val="20"/>
    </w:rPr>
  </w:style>
  <w:style w:styleId="Style_48" w:type="table">
    <w:name w:val="Table Normal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Сетка таблицы1"/>
    <w:basedOn w:val="Style_2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" w:type="table">
    <w:name w:val="Table Normal1"/>
    <w:pPr>
      <w:widowControl w:val="0"/>
      <w:spacing w:after="0" w:line="240" w:lineRule="auto"/>
      <w:ind/>
    </w:pPr>
    <w:rPr>
      <w:rFonts w:ascii="Calibri" w:hAnsi="Calibri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2023-09-28T23:59:38Z</dcterms:modified>
</cp:coreProperties>
</file>