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35316A">
      <w:pPr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 xml:space="preserve">№ </w:t>
      </w:r>
      <w:r w:rsidR="000F6DC5">
        <w:rPr>
          <w:b/>
          <w:sz w:val="28"/>
          <w:szCs w:val="28"/>
        </w:rPr>
        <w:t>…</w:t>
      </w:r>
      <w:r>
        <w:rPr>
          <w:b/>
          <w:sz w:val="28"/>
          <w:szCs w:val="28"/>
        </w:rPr>
        <w:t>-п</w:t>
      </w:r>
    </w:p>
    <w:p w:rsidR="0035316A" w:rsidRDefault="0035316A" w:rsidP="0035316A">
      <w:pPr>
        <w:jc w:val="right"/>
        <w:rPr>
          <w:sz w:val="28"/>
          <w:szCs w:val="28"/>
        </w:rPr>
      </w:pPr>
    </w:p>
    <w:p w:rsidR="0035316A" w:rsidRPr="00646894" w:rsidRDefault="0035316A" w:rsidP="0035316A">
      <w:pPr>
        <w:jc w:val="both"/>
        <w:rPr>
          <w:b/>
          <w:sz w:val="28"/>
          <w:szCs w:val="28"/>
        </w:rPr>
      </w:pPr>
      <w:r w:rsidRPr="00646894">
        <w:rPr>
          <w:sz w:val="28"/>
          <w:szCs w:val="28"/>
        </w:rPr>
        <w:t xml:space="preserve">г. Петропавловск-Камчатский                             </w:t>
      </w:r>
      <w:r>
        <w:rPr>
          <w:sz w:val="28"/>
          <w:szCs w:val="28"/>
        </w:rPr>
        <w:t xml:space="preserve">         </w:t>
      </w:r>
      <w:r w:rsidR="00CF75F9">
        <w:rPr>
          <w:sz w:val="28"/>
          <w:szCs w:val="28"/>
        </w:rPr>
        <w:t xml:space="preserve">   </w:t>
      </w:r>
      <w:r w:rsidR="00C62A47">
        <w:rPr>
          <w:sz w:val="28"/>
          <w:szCs w:val="28"/>
        </w:rPr>
        <w:t xml:space="preserve">  </w:t>
      </w:r>
      <w:r w:rsidR="006E0CA5">
        <w:rPr>
          <w:sz w:val="28"/>
          <w:szCs w:val="28"/>
        </w:rPr>
        <w:t xml:space="preserve">   </w:t>
      </w:r>
      <w:r w:rsidR="000F6DC5">
        <w:rPr>
          <w:sz w:val="28"/>
          <w:szCs w:val="28"/>
        </w:rPr>
        <w:t>…</w:t>
      </w:r>
      <w:bookmarkStart w:id="0" w:name="_GoBack"/>
      <w:bookmarkEnd w:id="0"/>
      <w:r w:rsidR="00854134">
        <w:rPr>
          <w:sz w:val="28"/>
          <w:szCs w:val="28"/>
        </w:rPr>
        <w:t xml:space="preserve"> </w:t>
      </w:r>
      <w:r w:rsidR="006E0CA5">
        <w:rPr>
          <w:sz w:val="28"/>
          <w:szCs w:val="28"/>
        </w:rPr>
        <w:t>декабря</w:t>
      </w:r>
      <w:r w:rsidR="00854134">
        <w:rPr>
          <w:sz w:val="28"/>
          <w:szCs w:val="28"/>
        </w:rPr>
        <w:t xml:space="preserve"> </w:t>
      </w:r>
      <w:r w:rsidRPr="00646894">
        <w:rPr>
          <w:sz w:val="28"/>
          <w:szCs w:val="28"/>
        </w:rPr>
        <w:t>201</w:t>
      </w:r>
      <w:r w:rsidR="00CF75F9">
        <w:rPr>
          <w:sz w:val="28"/>
          <w:szCs w:val="28"/>
        </w:rPr>
        <w:t>7</w:t>
      </w:r>
      <w:r w:rsidRPr="00646894">
        <w:rPr>
          <w:sz w:val="28"/>
          <w:szCs w:val="28"/>
        </w:rPr>
        <w:t xml:space="preserve"> года</w:t>
      </w:r>
    </w:p>
    <w:p w:rsidR="0035316A" w:rsidRPr="00B76307" w:rsidRDefault="0035316A" w:rsidP="0035316A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316A" w:rsidRPr="001A624C" w:rsidTr="00B848E4">
        <w:tc>
          <w:tcPr>
            <w:tcW w:w="4503" w:type="dxa"/>
          </w:tcPr>
          <w:p w:rsidR="00AE4C1C" w:rsidRPr="00EC6F9D" w:rsidRDefault="000D4041" w:rsidP="000D4041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Pr="000D4041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 xml:space="preserve">я </w:t>
            </w:r>
            <w:r w:rsidRPr="000D4041">
              <w:rPr>
                <w:sz w:val="28"/>
                <w:szCs w:val="28"/>
              </w:rPr>
              <w:t>об экспертном совете при Агентстве по внутренней политике Камчатского края по оценке программ (проектов) социально ориентированных некоммерческих организаций, представленных на конкурс на право получения субсидий из краевого бюджета</w:t>
            </w:r>
          </w:p>
        </w:tc>
      </w:tr>
    </w:tbl>
    <w:p w:rsidR="00EB6B07" w:rsidRDefault="00EB6B07" w:rsidP="00EB6B07">
      <w:pPr>
        <w:ind w:firstLine="709"/>
        <w:rPr>
          <w:sz w:val="28"/>
          <w:szCs w:val="28"/>
        </w:rPr>
      </w:pPr>
    </w:p>
    <w:p w:rsidR="00EB6B07" w:rsidRDefault="00926D9A" w:rsidP="00895B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95B62">
        <w:rPr>
          <w:sz w:val="28"/>
          <w:szCs w:val="28"/>
        </w:rPr>
        <w:t xml:space="preserve">целях </w:t>
      </w:r>
      <w:r w:rsidR="000D4041">
        <w:rPr>
          <w:sz w:val="28"/>
          <w:szCs w:val="28"/>
        </w:rPr>
        <w:t>содействия</w:t>
      </w:r>
      <w:r w:rsidR="00C62A47">
        <w:rPr>
          <w:sz w:val="28"/>
          <w:szCs w:val="28"/>
        </w:rPr>
        <w:t xml:space="preserve"> эффективности </w:t>
      </w:r>
      <w:r w:rsidR="000D4041">
        <w:rPr>
          <w:sz w:val="28"/>
          <w:szCs w:val="28"/>
        </w:rPr>
        <w:t>реализации программ (проектов)</w:t>
      </w:r>
      <w:r w:rsidR="004804E6">
        <w:rPr>
          <w:sz w:val="28"/>
          <w:szCs w:val="28"/>
        </w:rPr>
        <w:t xml:space="preserve"> социально ориентированных некоммерчески</w:t>
      </w:r>
      <w:r w:rsidR="000D4041">
        <w:rPr>
          <w:sz w:val="28"/>
          <w:szCs w:val="28"/>
        </w:rPr>
        <w:t>х организаций в Камчатском крае</w:t>
      </w:r>
    </w:p>
    <w:p w:rsidR="00EB6B07" w:rsidRDefault="00EB6B07" w:rsidP="00EB6B07">
      <w:pPr>
        <w:ind w:firstLine="709"/>
        <w:rPr>
          <w:sz w:val="28"/>
          <w:szCs w:val="28"/>
        </w:rPr>
      </w:pPr>
    </w:p>
    <w:p w:rsidR="00ED20F4" w:rsidRDefault="00ED20F4" w:rsidP="00EB6B07">
      <w:pPr>
        <w:ind w:firstLine="709"/>
        <w:rPr>
          <w:sz w:val="28"/>
          <w:szCs w:val="28"/>
        </w:rPr>
      </w:pPr>
      <w:r w:rsidRPr="001A624C">
        <w:rPr>
          <w:sz w:val="28"/>
          <w:szCs w:val="28"/>
        </w:rPr>
        <w:t>ПРИКАЗЫВАЮ:</w:t>
      </w:r>
    </w:p>
    <w:p w:rsidR="00926D9A" w:rsidRDefault="00926D9A" w:rsidP="000D4041">
      <w:pPr>
        <w:pStyle w:val="a8"/>
        <w:tabs>
          <w:tab w:val="left" w:pos="993"/>
          <w:tab w:val="left" w:pos="184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45682" w:rsidRPr="004804E6" w:rsidRDefault="004804E6" w:rsidP="000D4041">
      <w:pPr>
        <w:pStyle w:val="a8"/>
        <w:numPr>
          <w:ilvl w:val="0"/>
          <w:numId w:val="23"/>
        </w:numPr>
        <w:tabs>
          <w:tab w:val="left" w:pos="993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04E6">
        <w:rPr>
          <w:sz w:val="28"/>
          <w:szCs w:val="28"/>
        </w:rPr>
        <w:t xml:space="preserve">Утвердить </w:t>
      </w:r>
      <w:r w:rsidR="000D4041" w:rsidRPr="000D4041">
        <w:rPr>
          <w:sz w:val="28"/>
          <w:szCs w:val="28"/>
        </w:rPr>
        <w:t>Положени</w:t>
      </w:r>
      <w:r w:rsidR="000D4041">
        <w:rPr>
          <w:sz w:val="28"/>
          <w:szCs w:val="28"/>
        </w:rPr>
        <w:t>е</w:t>
      </w:r>
      <w:r w:rsidR="000D4041" w:rsidRPr="000D4041">
        <w:rPr>
          <w:sz w:val="28"/>
          <w:szCs w:val="28"/>
        </w:rPr>
        <w:t xml:space="preserve"> об экспертном совете при Агентстве по внутренней политике Камчатского края по оценке программ (проектов) социально ориентированных некоммерческих организаций, представленных на конкурс на право получения субсидий из краевого бюджета</w:t>
      </w:r>
      <w:r w:rsidR="0007582E">
        <w:rPr>
          <w:sz w:val="28"/>
          <w:szCs w:val="28"/>
        </w:rPr>
        <w:t xml:space="preserve"> (далее - Положение)</w:t>
      </w:r>
      <w:r w:rsidR="00FD397F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C846EC" w:rsidRDefault="00623A6F" w:rsidP="00EE72BE">
      <w:pPr>
        <w:pStyle w:val="a8"/>
        <w:numPr>
          <w:ilvl w:val="0"/>
          <w:numId w:val="23"/>
        </w:numPr>
        <w:tabs>
          <w:tab w:val="left" w:pos="993"/>
          <w:tab w:val="left" w:pos="184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4041">
        <w:rPr>
          <w:sz w:val="28"/>
          <w:szCs w:val="28"/>
        </w:rPr>
        <w:t xml:space="preserve">Отделу по работе с общественными, религиозными объединениями и некоммерческими организациями </w:t>
      </w:r>
      <w:r w:rsidR="0007582E">
        <w:rPr>
          <w:sz w:val="28"/>
          <w:szCs w:val="28"/>
        </w:rPr>
        <w:t>обеспечить формирование и утверждение состава экспертного совета согласно пунктам 3.1-3.5 Положения</w:t>
      </w:r>
      <w:r w:rsidR="00C846EC">
        <w:rPr>
          <w:sz w:val="28"/>
          <w:szCs w:val="28"/>
        </w:rPr>
        <w:t>.</w:t>
      </w:r>
    </w:p>
    <w:p w:rsidR="00540A8D" w:rsidRPr="004804E6" w:rsidRDefault="00540A8D" w:rsidP="004804E6">
      <w:pPr>
        <w:tabs>
          <w:tab w:val="left" w:pos="993"/>
          <w:tab w:val="left" w:pos="184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72BE" w:rsidRDefault="00EE72BE" w:rsidP="00EE72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5547" w:rsidRDefault="00375547" w:rsidP="00EE72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4DD" w:rsidRDefault="00CF75F9" w:rsidP="00EE72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C4746" w:rsidRPr="001A624C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C4746" w:rsidRPr="001A624C">
        <w:rPr>
          <w:sz w:val="28"/>
          <w:szCs w:val="28"/>
        </w:rPr>
        <w:t xml:space="preserve"> Агентства   </w:t>
      </w:r>
      <w:r w:rsidR="002B7082" w:rsidRPr="001A624C">
        <w:rPr>
          <w:sz w:val="28"/>
          <w:szCs w:val="28"/>
        </w:rPr>
        <w:t xml:space="preserve">    </w:t>
      </w:r>
      <w:r w:rsidR="005C4746" w:rsidRPr="001A624C">
        <w:rPr>
          <w:sz w:val="28"/>
          <w:szCs w:val="28"/>
        </w:rPr>
        <w:t xml:space="preserve">  </w:t>
      </w:r>
      <w:r w:rsidR="001A624C">
        <w:rPr>
          <w:sz w:val="28"/>
          <w:szCs w:val="28"/>
        </w:rPr>
        <w:t xml:space="preserve"> </w:t>
      </w:r>
      <w:r w:rsidR="005C4746" w:rsidRPr="001A624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</w:t>
      </w:r>
      <w:r w:rsidR="00EE72B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</w:t>
      </w:r>
      <w:r w:rsidR="005C4746" w:rsidRPr="001A624C">
        <w:rPr>
          <w:sz w:val="28"/>
          <w:szCs w:val="28"/>
        </w:rPr>
        <w:t xml:space="preserve">.В. </w:t>
      </w:r>
      <w:r w:rsidR="00EE72BE">
        <w:rPr>
          <w:sz w:val="28"/>
          <w:szCs w:val="28"/>
        </w:rPr>
        <w:t>Гуляев</w:t>
      </w:r>
    </w:p>
    <w:p w:rsidR="00D3209E" w:rsidRDefault="00D3209E" w:rsidP="00EE72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09E" w:rsidRDefault="00D3209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209E" w:rsidRDefault="00D3209E" w:rsidP="00D3209E">
      <w:pPr>
        <w:autoSpaceDE w:val="0"/>
        <w:autoSpaceDN w:val="0"/>
        <w:adjustRightInd w:val="0"/>
        <w:ind w:left="5103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приказу Агентства по внутренней политике Камчатского края от 29 декабря 2017 года № 95-п</w:t>
      </w:r>
    </w:p>
    <w:p w:rsidR="00D3209E" w:rsidRDefault="00D3209E" w:rsidP="00D3209E">
      <w:pPr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</w:p>
    <w:p w:rsidR="00D3209E" w:rsidRDefault="00D3209E" w:rsidP="00D3209E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D3209E" w:rsidRDefault="00D3209E" w:rsidP="00D3209E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3209E" w:rsidRDefault="00D3209E" w:rsidP="00D3209E">
      <w:pPr>
        <w:shd w:val="clear" w:color="auto" w:fill="FFFFFF"/>
        <w:tabs>
          <w:tab w:val="left" w:pos="1134"/>
          <w:tab w:val="left" w:pos="1202"/>
          <w:tab w:val="left" w:pos="127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 экспертном совете при Агентстве по внутренней политике Камчатского края по оценке программ (проектов) социально ориентированных некоммерческих организаций, представленных на конкурс на право получения субсидий из краевого бюджета</w:t>
      </w:r>
    </w:p>
    <w:p w:rsidR="00D3209E" w:rsidRDefault="00D3209E" w:rsidP="00D3209E">
      <w:pPr>
        <w:shd w:val="clear" w:color="auto" w:fill="FFFFFF"/>
        <w:tabs>
          <w:tab w:val="left" w:pos="1134"/>
          <w:tab w:val="left" w:pos="1202"/>
          <w:tab w:val="left" w:pos="1276"/>
        </w:tabs>
        <w:ind w:firstLine="567"/>
        <w:jc w:val="center"/>
        <w:rPr>
          <w:sz w:val="28"/>
          <w:szCs w:val="28"/>
        </w:rPr>
      </w:pPr>
    </w:p>
    <w:p w:rsidR="00D3209E" w:rsidRDefault="00D3209E" w:rsidP="00D3209E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3209E" w:rsidRDefault="00D3209E" w:rsidP="00D3209E">
      <w:pPr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Экспертный совет при Агентстве по внутренней политике Камчатского края по оценке программ (проектов) социально ориентированных некоммерческих организаций, представленных на конкурс на право получения субсидий из краевого бюджета (далее – Экспертный совет) формируется:</w:t>
      </w:r>
    </w:p>
    <w:p w:rsidR="00D3209E" w:rsidRDefault="00D3209E" w:rsidP="00D3209E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независимой экспертизы программ (проектов) социально ориентированных некоммерческих организаций (далее - СОНКО), представленных на конкурс на право получения субсидий из краевого бюджета (далее - Конкурс);</w:t>
      </w:r>
    </w:p>
    <w:p w:rsidR="00D3209E" w:rsidRDefault="00D3209E" w:rsidP="00D3209E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подготовки рекомендаций конкурсной комиссии по проведению конкурса на право получения субсидий социально ориентированными некоммерческими организациями в Камчатском крае.</w:t>
      </w:r>
    </w:p>
    <w:p w:rsidR="00D3209E" w:rsidRDefault="00D3209E" w:rsidP="00D3209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Экспертный совет в своей деятельности руководствуется Конституцией</w:t>
      </w:r>
      <w:r>
        <w:t xml:space="preserve"> </w:t>
      </w:r>
      <w:r>
        <w:rPr>
          <w:sz w:val="28"/>
          <w:szCs w:val="28"/>
        </w:rPr>
        <w:t>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3209E" w:rsidRDefault="00D3209E" w:rsidP="00D3209E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Основные функции экспертного совета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3209E" w:rsidRDefault="00D3209E" w:rsidP="00D3209E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Основными функциями Экспертного совета являются:</w:t>
      </w:r>
    </w:p>
    <w:p w:rsidR="00D3209E" w:rsidRDefault="00D3209E" w:rsidP="00D3209E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порядка проведения независимой экспертизы программ (проектов) СОНКО, представленных на Конкурс;</w:t>
      </w:r>
    </w:p>
    <w:p w:rsidR="00D3209E" w:rsidRDefault="00D3209E" w:rsidP="00D3209E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методических рекомендаций по оценке программ (проектов) СОНКО, представленных на Конкурс;</w:t>
      </w:r>
    </w:p>
    <w:p w:rsidR="00D3209E" w:rsidRDefault="00D3209E" w:rsidP="00D3209E">
      <w:pPr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экспертов по оценке программ (проектов) СОНКО, представленных на Конкурс.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Для осуществления возложенных функций экспертный совет имеет право: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рассматривать и проверять документы, представленные СОНКО, в соответствии с частью 8 Порядка проведения конкурса на право получения социально ориентированными некоммерческими организациями в Камчатском крае субсидий на реализацию социально значимых программ (проектов);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пределах своей компетенции запрашивать у СОНКО сведения, необходимые для уточнения и разъяснения информации, указанной в представленных документах;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целях подтверждения достоверности сведений, в представленных СОНКО документах в экспертный совет, запрашивать необходимую информацию в соответствующих организациях;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принимать решения: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по утверждению результатов независимой экспертизы программ (проектов) СОНКО, представленных на Конкурс;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по подготовке рекомендаций конкурсной комиссии по проведению конкурса на право получения субсидий социально ориентированными некоммерческими организациями в Камчатском крае;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 оценке качества работы экспертов, анализу обоснованности экспертных заключений, представленных независимыми экспертами; 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 исключению из состава совета эксперта в случае признания необоснованными представленных им двух и более экспертных заключений. 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D3209E" w:rsidRDefault="00D3209E" w:rsidP="00D3209E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Организация работы экспертного совета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Экспертный совет образуется приказом Агентства по внутренней политике Камчатского края.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Экспертный совет формируется в составе не менее 7 человек из представителей некоммерческих неправительственных организаций, имеющих опыт разработки и реализации социально значимых программ (проектов), поддержанных субсидиями из бюджетов бюджетной системы Российской Федерации, представителей Общественной палаты Камчатского края, общественных советов при исполнительных органах государственной власти Камчатского края, а также представителей иных организаций, имеющих опыт взаимодействия с некоммерческими организациями.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Экспертный совет формируется на основании документов, представленных кандидатами в члены Экспертного совета.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Кандидаты в члены Экспертного совета представляют в Агентство по внутренней политике Камчатского края: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личное заявление о включении в состав экспертного совета;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2) информацию о наличии подготовки к экспертной деятельности (удостоверение (сертификат) об обучении, стажировке, повышении квалификации, иные документы, подтверждающие факт прохождения подготовки).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Персональный состав Экспертного совета утверждается приказом Агентства по внутренней политике Камчатского края.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3.6. Формой работы Экспертного совета является заседание экспертного совета. Заседания экспертного совета проводятся по мере необходимости в период проведения конкурсных процедур.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Заседание Экспертного совета считается правомочным, если на нем присутствует не менее половины ее членов. Делегирование полномочий члена экспертного совета иным лицам не допускается.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3.8. Решения Экспертного совета принимаются простым большинством голосов присутствующих на заседании членов экспертного совета. При равенстве голосов, голос председателя экспертного совета (в его отсутствие - заместителя председателя экспертного совета) является решающим.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3.9. Председатель Экспертного совета: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руководство деятельностью экспертного совета;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назначает заседания экспертного совета;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утверждает повестку заседания экспертного совета;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организует и проводит заседания экспертного совета, подписывает протоколы заседаний экспертного совета;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контролирует выполнение решений экспертного совета.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 Заместитель председателя экспертного совета осуществляет полномочия председателя экспертного совета в его отсутствие.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 Секретарь Экспертного совета: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формирует повестку заседания экспертного совета;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не позднее 5-х рабочих дней до дня проведения заседания экспертного совета осуществляет уведомление членов экспертного совета о дате, времени, месте и повестке заседания экспертного совета;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готовит документы в соответствии с повесткой заседания экспертного совета;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ведет протоколы заседаний экспертного совета;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осуществляет другие функции, связанные с организационной деятельностью экспертного совета.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3.11. Члены Экспертного совета: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осуществляют независимую экспертизу программ (проектов) СОНКО, представленных на Конкурс, согласно определенному Экспертным советом порядку проведения независимой экспертизы программ (проектов) СОНКО, представленных на Конкурс;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выражают мнение по вопросам, вынесенным для рассмотрения на заседание Экспертного совета;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голосуют по вопросам повестки заседания Экспертного совета;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выполняют поручения председателя Экспертного совета.</w:t>
      </w:r>
    </w:p>
    <w:p w:rsidR="00D3209E" w:rsidRDefault="00D3209E" w:rsidP="00D32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3.12. Члены Экспертного совета при оценке программ (проектов) не вправе:</w:t>
      </w:r>
    </w:p>
    <w:p w:rsidR="00D3209E" w:rsidRDefault="00D3209E" w:rsidP="00D32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вступать в контакты с заявителями, в том числе обсуждать с ними поданные ими программы (проекты), напрямую запрашивать документы, информацию и (или) пояснения;</w:t>
      </w:r>
    </w:p>
    <w:p w:rsidR="00D3209E" w:rsidRDefault="00D3209E" w:rsidP="00D32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рассматривать программу (проект) организации, если он является работником или членом коллегиальных органов такой организации или если таковыми являются его близкие родственники, а также в иных случаях, если имеются обстоятельства, дающие основание полагать, что эксперт лично, прямо или косвенно заинтересован в результатах рассмотрения программы (проекта).</w:t>
      </w:r>
    </w:p>
    <w:p w:rsidR="00D3209E" w:rsidRDefault="00D3209E" w:rsidP="00D32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Направление программ (проектов), представленных на Конкурс, членам Экспертного совета для проведения независимой экспертизы осуществляется Председателем Экспертного совета. Информация о личности </w:t>
      </w:r>
      <w:r>
        <w:rPr>
          <w:sz w:val="28"/>
          <w:szCs w:val="28"/>
        </w:rPr>
        <w:lastRenderedPageBreak/>
        <w:t>эксперта, проводившего независимую оценку программы (проекта) в каждом конкретном случае, не разглашается.</w:t>
      </w:r>
    </w:p>
    <w:p w:rsidR="00D3209E" w:rsidRDefault="00D3209E" w:rsidP="00D32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3.14. Члены экспертного совета проводят независимую оценку программ (проектов), представленных на Конкурс, по следующим критериям:</w:t>
      </w:r>
    </w:p>
    <w:p w:rsidR="00D3209E" w:rsidRDefault="00D3209E" w:rsidP="00D32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актуальность (оценивается важность, значимость, масштабность и необходимость мероприятий программы (проекта) для настоящего времени);</w:t>
      </w:r>
    </w:p>
    <w:p w:rsidR="00D3209E" w:rsidRDefault="00D3209E" w:rsidP="00D32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проблем);</w:t>
      </w:r>
    </w:p>
    <w:p w:rsidR="00D3209E" w:rsidRDefault="00D3209E" w:rsidP="00D32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(с учетом запрашиваемых средств субсидии) для реализации мероприятий и достижения целей программы (проекта);</w:t>
      </w:r>
    </w:p>
    <w:p w:rsidR="00D3209E" w:rsidRDefault="00D3209E" w:rsidP="00D320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</w:t>
      </w:r>
      <w:proofErr w:type="spellStart"/>
      <w:r>
        <w:rPr>
          <w:sz w:val="28"/>
          <w:szCs w:val="28"/>
        </w:rPr>
        <w:t>взаимоувязки</w:t>
      </w:r>
      <w:proofErr w:type="spellEnd"/>
      <w:r>
        <w:rPr>
          <w:sz w:val="28"/>
          <w:szCs w:val="28"/>
        </w:rPr>
        <w:t xml:space="preserve"> предлагаемых мероприятий).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3.15. Каждая программа (проект) оценивается не менее чем тремя экспертами.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FF0000"/>
          <w:sz w:val="30"/>
          <w:szCs w:val="30"/>
          <w:lang w:eastAsia="en-US"/>
        </w:rPr>
      </w:pPr>
      <w:r>
        <w:rPr>
          <w:sz w:val="28"/>
          <w:szCs w:val="28"/>
        </w:rPr>
        <w:t>3.16. Результаты независимой оценки направляются секретарю Экспертного совета не позднее 3-х рабочих дней до дня проведения заседания Экспертного совета.</w:t>
      </w:r>
      <w:r>
        <w:rPr>
          <w:rFonts w:ascii="Arial" w:hAnsi="Arial" w:cs="Arial"/>
          <w:color w:val="FF0000"/>
          <w:sz w:val="30"/>
          <w:szCs w:val="30"/>
        </w:rPr>
        <w:t xml:space="preserve"> 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3.17. Экспертный совет рассматривает программы (проекты) с учетом их предварительного рейтинга, определяемого как сумма средних баллов, присвоенных оценившими программу (проект) экспертами конкурса по каждому критерию, а также рекомендаций экспертов конкурса. По результатам рассмотрения определяется рейтинг каждой программы (проекта), при этом, Экспертный совет вправе пересмотреть оценки программ (проектов) в баллах по одному или нескольким критериям.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3.18. В случае выявления в процессе проведения независимой экспертизы представленных на конкурс программ (проектов) факта нарушения экспертом конкурса требований, установленных абзацами третьим и четвертым пункта 3.12 настоящего положения, Экспертный совет исключает такого эксперта из своего состава, а баллы, присвоенные программе (проекту) данным экспертом, не учитываются при рассмотрении результатов независимой экспертизы.</w:t>
      </w:r>
    </w:p>
    <w:p w:rsidR="00D3209E" w:rsidRDefault="00D3209E" w:rsidP="00D3209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3.19. По рассмотрении результатов независимой экспертизы Экспертный совет готовит рекомендации конкурсной комиссии по проведению конкурса на право получения субсидий социально ориентированными некоммерческими организациями в Камчатском крае и направляет их Председателю конкурсной комиссии не позднее 3-х дней после проведения заседания Экспертного совета.</w:t>
      </w:r>
    </w:p>
    <w:p w:rsidR="00D3209E" w:rsidRPr="00D3209E" w:rsidRDefault="00D3209E" w:rsidP="00D3209E">
      <w:pPr>
        <w:ind w:firstLine="567"/>
        <w:jc w:val="both"/>
      </w:pPr>
      <w:r>
        <w:rPr>
          <w:sz w:val="28"/>
          <w:szCs w:val="28"/>
        </w:rPr>
        <w:t>3.20. Организационно-техническое обеспечение деятельности экспертного совета осуществляется Агентством по внутренней политике Камчатского края.</w:t>
      </w:r>
    </w:p>
    <w:sectPr w:rsidR="00D3209E" w:rsidRPr="00D3209E" w:rsidSect="0037554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779"/>
    <w:multiLevelType w:val="hybridMultilevel"/>
    <w:tmpl w:val="CC067E3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64605"/>
    <w:multiLevelType w:val="multilevel"/>
    <w:tmpl w:val="FE245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">
    <w:nsid w:val="0A9C4007"/>
    <w:multiLevelType w:val="hybridMultilevel"/>
    <w:tmpl w:val="373C6516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127F0"/>
    <w:multiLevelType w:val="hybridMultilevel"/>
    <w:tmpl w:val="A9AE1CDA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924B0"/>
    <w:multiLevelType w:val="hybridMultilevel"/>
    <w:tmpl w:val="CE1230A6"/>
    <w:lvl w:ilvl="0" w:tplc="BEC896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E1D2F"/>
    <w:multiLevelType w:val="hybridMultilevel"/>
    <w:tmpl w:val="74DEEEC2"/>
    <w:lvl w:ilvl="0" w:tplc="3FD8C7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6">
    <w:nsid w:val="1DA57EA3"/>
    <w:multiLevelType w:val="multilevel"/>
    <w:tmpl w:val="0FA20D2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21A56CED"/>
    <w:multiLevelType w:val="hybridMultilevel"/>
    <w:tmpl w:val="12FCCB2E"/>
    <w:lvl w:ilvl="0" w:tplc="ED125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A77C73"/>
    <w:multiLevelType w:val="hybridMultilevel"/>
    <w:tmpl w:val="6CD8238A"/>
    <w:lvl w:ilvl="0" w:tplc="1958CF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9E854CC"/>
    <w:multiLevelType w:val="multilevel"/>
    <w:tmpl w:val="48125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D846721"/>
    <w:multiLevelType w:val="hybridMultilevel"/>
    <w:tmpl w:val="9CA6FE2A"/>
    <w:lvl w:ilvl="0" w:tplc="C560A64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FC1E9A"/>
    <w:multiLevelType w:val="hybridMultilevel"/>
    <w:tmpl w:val="38CEB756"/>
    <w:lvl w:ilvl="0" w:tplc="F2707002">
      <w:start w:val="1"/>
      <w:numFmt w:val="decimal"/>
      <w:lvlText w:val="%1."/>
      <w:lvlJc w:val="center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353627"/>
    <w:multiLevelType w:val="hybridMultilevel"/>
    <w:tmpl w:val="0CDA61FA"/>
    <w:lvl w:ilvl="0" w:tplc="46DE16B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83DEA"/>
    <w:multiLevelType w:val="hybridMultilevel"/>
    <w:tmpl w:val="592C690E"/>
    <w:lvl w:ilvl="0" w:tplc="F4DC3B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FF14E3A"/>
    <w:multiLevelType w:val="hybridMultilevel"/>
    <w:tmpl w:val="39FCCD82"/>
    <w:lvl w:ilvl="0" w:tplc="A164192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8567DC"/>
    <w:multiLevelType w:val="hybridMultilevel"/>
    <w:tmpl w:val="6470A0DE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34025"/>
    <w:multiLevelType w:val="multilevel"/>
    <w:tmpl w:val="48125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98A08BD"/>
    <w:multiLevelType w:val="hybridMultilevel"/>
    <w:tmpl w:val="D8FCF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80CB8"/>
    <w:multiLevelType w:val="hybridMultilevel"/>
    <w:tmpl w:val="5C68662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0C17D6"/>
    <w:multiLevelType w:val="hybridMultilevel"/>
    <w:tmpl w:val="4B68295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C529A"/>
    <w:multiLevelType w:val="hybridMultilevel"/>
    <w:tmpl w:val="8D92A914"/>
    <w:lvl w:ilvl="0" w:tplc="A182A69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DF4EE4"/>
    <w:multiLevelType w:val="hybridMultilevel"/>
    <w:tmpl w:val="890C160E"/>
    <w:lvl w:ilvl="0" w:tplc="943065A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EA1301"/>
    <w:multiLevelType w:val="hybridMultilevel"/>
    <w:tmpl w:val="A02C25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EF7B76"/>
    <w:multiLevelType w:val="hybridMultilevel"/>
    <w:tmpl w:val="6BBEE07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841E8D"/>
    <w:multiLevelType w:val="hybridMultilevel"/>
    <w:tmpl w:val="FCC812D6"/>
    <w:lvl w:ilvl="0" w:tplc="D7D0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1C4F19"/>
    <w:multiLevelType w:val="hybridMultilevel"/>
    <w:tmpl w:val="7B0E3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</w:num>
  <w:num w:numId="2">
    <w:abstractNumId w:val="22"/>
  </w:num>
  <w:num w:numId="3">
    <w:abstractNumId w:val="2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4"/>
  </w:num>
  <w:num w:numId="7">
    <w:abstractNumId w:val="11"/>
  </w:num>
  <w:num w:numId="8">
    <w:abstractNumId w:val="4"/>
  </w:num>
  <w:num w:numId="9">
    <w:abstractNumId w:val="15"/>
  </w:num>
  <w:num w:numId="10">
    <w:abstractNumId w:val="17"/>
  </w:num>
  <w:num w:numId="11">
    <w:abstractNumId w:val="0"/>
  </w:num>
  <w:num w:numId="12">
    <w:abstractNumId w:val="3"/>
  </w:num>
  <w:num w:numId="13">
    <w:abstractNumId w:val="14"/>
  </w:num>
  <w:num w:numId="14">
    <w:abstractNumId w:val="18"/>
  </w:num>
  <w:num w:numId="15">
    <w:abstractNumId w:val="12"/>
  </w:num>
  <w:num w:numId="16">
    <w:abstractNumId w:val="19"/>
  </w:num>
  <w:num w:numId="17">
    <w:abstractNumId w:val="27"/>
  </w:num>
  <w:num w:numId="18">
    <w:abstractNumId w:val="21"/>
  </w:num>
  <w:num w:numId="19">
    <w:abstractNumId w:val="23"/>
  </w:num>
  <w:num w:numId="20">
    <w:abstractNumId w:val="2"/>
  </w:num>
  <w:num w:numId="21">
    <w:abstractNumId w:val="7"/>
  </w:num>
  <w:num w:numId="22">
    <w:abstractNumId w:val="8"/>
  </w:num>
  <w:num w:numId="23">
    <w:abstractNumId w:val="16"/>
  </w:num>
  <w:num w:numId="24">
    <w:abstractNumId w:val="9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F7042"/>
    <w:rsid w:val="000548AE"/>
    <w:rsid w:val="0007582E"/>
    <w:rsid w:val="000903DB"/>
    <w:rsid w:val="000951CE"/>
    <w:rsid w:val="000A27C2"/>
    <w:rsid w:val="000D4041"/>
    <w:rsid w:val="000F6942"/>
    <w:rsid w:val="000F6DC5"/>
    <w:rsid w:val="00126288"/>
    <w:rsid w:val="00177192"/>
    <w:rsid w:val="0018757E"/>
    <w:rsid w:val="0018782F"/>
    <w:rsid w:val="00191FC9"/>
    <w:rsid w:val="001A624C"/>
    <w:rsid w:val="001E0EAF"/>
    <w:rsid w:val="001F2743"/>
    <w:rsid w:val="00235EBA"/>
    <w:rsid w:val="00237F6F"/>
    <w:rsid w:val="00263BB8"/>
    <w:rsid w:val="00275AC1"/>
    <w:rsid w:val="002810B9"/>
    <w:rsid w:val="002B366C"/>
    <w:rsid w:val="002B7082"/>
    <w:rsid w:val="002D301D"/>
    <w:rsid w:val="002F7042"/>
    <w:rsid w:val="003160CC"/>
    <w:rsid w:val="00322461"/>
    <w:rsid w:val="0035316A"/>
    <w:rsid w:val="00375547"/>
    <w:rsid w:val="003C2493"/>
    <w:rsid w:val="003D05C2"/>
    <w:rsid w:val="003F20C6"/>
    <w:rsid w:val="003F672C"/>
    <w:rsid w:val="004378E3"/>
    <w:rsid w:val="0045367B"/>
    <w:rsid w:val="004804E6"/>
    <w:rsid w:val="004852D9"/>
    <w:rsid w:val="0049219F"/>
    <w:rsid w:val="004A3415"/>
    <w:rsid w:val="004A3E31"/>
    <w:rsid w:val="005248A1"/>
    <w:rsid w:val="00532565"/>
    <w:rsid w:val="00540A8D"/>
    <w:rsid w:val="00547818"/>
    <w:rsid w:val="00563AD4"/>
    <w:rsid w:val="005C4746"/>
    <w:rsid w:val="005D0FB0"/>
    <w:rsid w:val="005D142C"/>
    <w:rsid w:val="006057B0"/>
    <w:rsid w:val="006148D7"/>
    <w:rsid w:val="00623A6F"/>
    <w:rsid w:val="00627D4F"/>
    <w:rsid w:val="006602CF"/>
    <w:rsid w:val="00683E23"/>
    <w:rsid w:val="006E0CA5"/>
    <w:rsid w:val="00711D94"/>
    <w:rsid w:val="00712A87"/>
    <w:rsid w:val="00742B42"/>
    <w:rsid w:val="00744CDB"/>
    <w:rsid w:val="00746837"/>
    <w:rsid w:val="00754F89"/>
    <w:rsid w:val="00785B8B"/>
    <w:rsid w:val="007B1E80"/>
    <w:rsid w:val="007F5E0A"/>
    <w:rsid w:val="00832E81"/>
    <w:rsid w:val="0084377A"/>
    <w:rsid w:val="00854134"/>
    <w:rsid w:val="00867279"/>
    <w:rsid w:val="00895B62"/>
    <w:rsid w:val="008B78D5"/>
    <w:rsid w:val="008D5C5A"/>
    <w:rsid w:val="00914B3B"/>
    <w:rsid w:val="00926D9A"/>
    <w:rsid w:val="00996555"/>
    <w:rsid w:val="009B6387"/>
    <w:rsid w:val="00A605B9"/>
    <w:rsid w:val="00A90751"/>
    <w:rsid w:val="00A95F76"/>
    <w:rsid w:val="00AB1E22"/>
    <w:rsid w:val="00AB2FE0"/>
    <w:rsid w:val="00AB602B"/>
    <w:rsid w:val="00AE0B0B"/>
    <w:rsid w:val="00AE4C1C"/>
    <w:rsid w:val="00B15AAA"/>
    <w:rsid w:val="00B26419"/>
    <w:rsid w:val="00B52DAB"/>
    <w:rsid w:val="00B848E4"/>
    <w:rsid w:val="00BA6BB9"/>
    <w:rsid w:val="00C62A47"/>
    <w:rsid w:val="00C846EC"/>
    <w:rsid w:val="00C96800"/>
    <w:rsid w:val="00CE44DD"/>
    <w:rsid w:val="00CF75F9"/>
    <w:rsid w:val="00D036F6"/>
    <w:rsid w:val="00D3209E"/>
    <w:rsid w:val="00DE2EEF"/>
    <w:rsid w:val="00DF4F0B"/>
    <w:rsid w:val="00DF6FC1"/>
    <w:rsid w:val="00E45682"/>
    <w:rsid w:val="00E64229"/>
    <w:rsid w:val="00E95674"/>
    <w:rsid w:val="00EB6B07"/>
    <w:rsid w:val="00EC6F9D"/>
    <w:rsid w:val="00ED20F4"/>
    <w:rsid w:val="00ED5BB7"/>
    <w:rsid w:val="00EE72BE"/>
    <w:rsid w:val="00EF7334"/>
    <w:rsid w:val="00F167E2"/>
    <w:rsid w:val="00F313EA"/>
    <w:rsid w:val="00F407C9"/>
    <w:rsid w:val="00FB025F"/>
    <w:rsid w:val="00FD397F"/>
    <w:rsid w:val="00FD4E2B"/>
    <w:rsid w:val="00FD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FC024-8927-4D29-900C-6B0ADF98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96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CDE92-4179-4C33-87D4-3F304ACA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Артеменко Светлана Ивановна</cp:lastModifiedBy>
  <cp:revision>27</cp:revision>
  <cp:lastPrinted>2017-12-28T22:10:00Z</cp:lastPrinted>
  <dcterms:created xsi:type="dcterms:W3CDTF">2013-12-24T01:39:00Z</dcterms:created>
  <dcterms:modified xsi:type="dcterms:W3CDTF">2017-12-28T22:28:00Z</dcterms:modified>
</cp:coreProperties>
</file>