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80" w:rsidRDefault="005F1580" w:rsidP="009D736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</w:pPr>
    </w:p>
    <w:p w:rsidR="005F1580" w:rsidRPr="009D7360" w:rsidRDefault="009D7360" w:rsidP="009D7360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sz w:val="32"/>
          <w:szCs w:val="32"/>
        </w:rPr>
      </w:pPr>
      <w:r w:rsidRPr="009D7360">
        <w:rPr>
          <w:b/>
          <w:sz w:val="32"/>
          <w:szCs w:val="32"/>
        </w:rPr>
        <w:t>Агентство по внутренней политике Камчатского края</w:t>
      </w:r>
    </w:p>
    <w:p w:rsidR="005F1580" w:rsidRDefault="005F1580" w:rsidP="005F1580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Агентство по занятости населения и миграционной политике  Камчатского края</w:t>
      </w: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28"/>
          <w:szCs w:val="28"/>
        </w:rPr>
      </w:pPr>
    </w:p>
    <w:p w:rsidR="005F1580" w:rsidRDefault="005F1580" w:rsidP="005F1580">
      <w:pPr>
        <w:pStyle w:val="a7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overflowPunct/>
        <w:autoSpaceDE/>
        <w:autoSpaceDN/>
        <w:adjustRightInd/>
        <w:textAlignment w:val="auto"/>
        <w:rPr>
          <w:b w:val="0"/>
          <w:bCs w:val="0"/>
          <w:sz w:val="24"/>
          <w:szCs w:val="24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Pr="009D736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D736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Итоги опроса жителей Камчатского края </w:t>
      </w:r>
    </w:p>
    <w:p w:rsidR="005F1580" w:rsidRPr="009D736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Cs/>
          <w:sz w:val="36"/>
          <w:szCs w:val="36"/>
        </w:rPr>
      </w:pPr>
      <w:r w:rsidRPr="009D7360">
        <w:rPr>
          <w:rFonts w:ascii="Times New Roman" w:hAnsi="Times New Roman" w:cs="Times New Roman"/>
          <w:b/>
          <w:bCs/>
          <w:iCs/>
          <w:sz w:val="36"/>
          <w:szCs w:val="36"/>
        </w:rPr>
        <w:t>по определению факторов, влияющих на трудоустройство за пределами места постоянного проживания</w:t>
      </w:r>
    </w:p>
    <w:p w:rsidR="00360FE3" w:rsidRPr="00360FE3" w:rsidRDefault="00360FE3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F1580" w:rsidRPr="009D7360" w:rsidRDefault="00360FE3" w:rsidP="009D736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  <w:r w:rsidRPr="009D7360">
        <w:rPr>
          <w:rFonts w:ascii="Times New Roman" w:hAnsi="Times New Roman" w:cs="Times New Roman"/>
          <w:iCs/>
          <w:sz w:val="28"/>
          <w:szCs w:val="28"/>
        </w:rPr>
        <w:t>(</w:t>
      </w:r>
      <w:r w:rsidR="009D7360" w:rsidRPr="009D7360">
        <w:rPr>
          <w:rFonts w:ascii="Times New Roman" w:hAnsi="Times New Roman" w:cs="Times New Roman"/>
          <w:iCs/>
          <w:sz w:val="32"/>
          <w:szCs w:val="32"/>
        </w:rPr>
        <w:t>май</w:t>
      </w:r>
      <w:r w:rsidR="009D7360">
        <w:rPr>
          <w:rFonts w:ascii="Times New Roman" w:hAnsi="Times New Roman" w:cs="Times New Roman"/>
          <w:iCs/>
          <w:sz w:val="32"/>
          <w:szCs w:val="32"/>
        </w:rPr>
        <w:t>,</w:t>
      </w:r>
      <w:r w:rsidR="009D7360" w:rsidRPr="009D7360">
        <w:rPr>
          <w:rFonts w:ascii="Times New Roman" w:hAnsi="Times New Roman" w:cs="Times New Roman"/>
          <w:iCs/>
          <w:sz w:val="32"/>
          <w:szCs w:val="32"/>
        </w:rPr>
        <w:t xml:space="preserve"> 2015 год</w:t>
      </w:r>
      <w:r w:rsidRPr="009D7360">
        <w:rPr>
          <w:rFonts w:ascii="Times New Roman" w:hAnsi="Times New Roman" w:cs="Times New Roman"/>
          <w:iCs/>
          <w:sz w:val="28"/>
          <w:szCs w:val="28"/>
        </w:rPr>
        <w:t>)</w:t>
      </w: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D7360" w:rsidRDefault="009D736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5F1580" w:rsidRPr="005F1580" w:rsidRDefault="005F1580" w:rsidP="005F15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F1580">
        <w:rPr>
          <w:rFonts w:ascii="Times New Roman" w:hAnsi="Times New Roman" w:cs="Times New Roman"/>
          <w:i/>
          <w:iCs/>
          <w:sz w:val="32"/>
          <w:szCs w:val="32"/>
        </w:rPr>
        <w:t>г. Петропавловск-Камчатский</w:t>
      </w:r>
    </w:p>
    <w:p w:rsidR="005E749E" w:rsidRDefault="005E749E" w:rsidP="005F1580"/>
    <w:p w:rsidR="00903034" w:rsidRDefault="00903034" w:rsidP="00D03B3E">
      <w:pPr>
        <w:rPr>
          <w:rFonts w:ascii="Times New Roman" w:hAnsi="Times New Roman" w:cs="Times New Roman"/>
          <w:sz w:val="32"/>
          <w:szCs w:val="32"/>
        </w:rPr>
        <w:sectPr w:rsidR="00903034" w:rsidSect="00D03B3E"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9D7360" w:rsidRDefault="009D7360" w:rsidP="009D736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360">
        <w:rPr>
          <w:rFonts w:ascii="Times New Roman" w:hAnsi="Times New Roman" w:cs="Times New Roman"/>
          <w:b/>
          <w:sz w:val="32"/>
          <w:szCs w:val="32"/>
        </w:rPr>
        <w:lastRenderedPageBreak/>
        <w:t>Аналитическая записка</w:t>
      </w:r>
    </w:p>
    <w:p w:rsidR="009D7360" w:rsidRPr="009D7360" w:rsidRDefault="009D7360" w:rsidP="009D736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7D5" w:rsidRPr="00E63593" w:rsidRDefault="005733E0" w:rsidP="00D03B3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 xml:space="preserve">С 15 марта по 20 апреля </w:t>
      </w:r>
      <w:r w:rsidR="00F967D5" w:rsidRPr="00E63593">
        <w:rPr>
          <w:rFonts w:ascii="Times New Roman" w:hAnsi="Times New Roman" w:cs="Times New Roman"/>
          <w:sz w:val="32"/>
          <w:szCs w:val="32"/>
        </w:rPr>
        <w:t>2015 года Агентством по внутренней политике Камчатского края при взаимодействии с Агентством по занятости населения и миграционной политике Камчатского края проведен опрос жителей Камчатского края с целью определения факторов, влияющих на трудоустройство за пределами места постоянного проживания.</w:t>
      </w:r>
    </w:p>
    <w:p w:rsidR="0071353B" w:rsidRPr="00E63593" w:rsidRDefault="00063167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 xml:space="preserve">В опросе приняли участие 720 </w:t>
      </w:r>
      <w:r w:rsidR="0071353B" w:rsidRPr="00E63593">
        <w:rPr>
          <w:rFonts w:ascii="Times New Roman" w:hAnsi="Times New Roman" w:cs="Times New Roman"/>
          <w:sz w:val="32"/>
          <w:szCs w:val="32"/>
        </w:rPr>
        <w:t xml:space="preserve">жителей девяти муниципальных </w:t>
      </w:r>
      <w:r w:rsidR="00D31D16">
        <w:rPr>
          <w:rFonts w:ascii="Times New Roman" w:hAnsi="Times New Roman" w:cs="Times New Roman"/>
          <w:sz w:val="32"/>
          <w:szCs w:val="32"/>
        </w:rPr>
        <w:t>образований</w:t>
      </w:r>
      <w:r w:rsidR="0071353B" w:rsidRPr="00E63593">
        <w:rPr>
          <w:rFonts w:ascii="Times New Roman" w:hAnsi="Times New Roman" w:cs="Times New Roman"/>
          <w:sz w:val="32"/>
          <w:szCs w:val="32"/>
        </w:rPr>
        <w:t xml:space="preserve"> Камчатского края</w:t>
      </w:r>
      <w:r w:rsidRPr="00E63593">
        <w:rPr>
          <w:rFonts w:ascii="Times New Roman" w:hAnsi="Times New Roman" w:cs="Times New Roman"/>
          <w:sz w:val="32"/>
          <w:szCs w:val="32"/>
        </w:rPr>
        <w:t>.</w:t>
      </w:r>
    </w:p>
    <w:p w:rsidR="00AA21C1" w:rsidRPr="00E63593" w:rsidRDefault="0071353B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 xml:space="preserve">Большая часть респондентов проживает на территории </w:t>
      </w:r>
      <w:proofErr w:type="gramStart"/>
      <w:r w:rsidRPr="00E63593">
        <w:rPr>
          <w:rFonts w:ascii="Times New Roman" w:hAnsi="Times New Roman" w:cs="Times New Roman"/>
          <w:sz w:val="32"/>
          <w:szCs w:val="32"/>
        </w:rPr>
        <w:t>Петропавловск-Камчатского</w:t>
      </w:r>
      <w:proofErr w:type="gramEnd"/>
      <w:r w:rsidRPr="00E63593">
        <w:rPr>
          <w:rFonts w:ascii="Times New Roman" w:hAnsi="Times New Roman" w:cs="Times New Roman"/>
          <w:sz w:val="32"/>
          <w:szCs w:val="32"/>
        </w:rPr>
        <w:t xml:space="preserve"> городского округа (55,</w:t>
      </w:r>
      <w:r w:rsidR="00185F73" w:rsidRPr="00E63593">
        <w:rPr>
          <w:rFonts w:ascii="Times New Roman" w:hAnsi="Times New Roman" w:cs="Times New Roman"/>
          <w:sz w:val="32"/>
          <w:szCs w:val="32"/>
        </w:rPr>
        <w:t xml:space="preserve">6%), </w:t>
      </w:r>
      <w:r w:rsidRPr="00E63593">
        <w:rPr>
          <w:rFonts w:ascii="Times New Roman" w:hAnsi="Times New Roman" w:cs="Times New Roman"/>
          <w:sz w:val="32"/>
          <w:szCs w:val="32"/>
        </w:rPr>
        <w:t>Елизовского муниципального района (19,9%)</w:t>
      </w:r>
      <w:r w:rsidR="00185F73" w:rsidRPr="00E63593">
        <w:rPr>
          <w:rFonts w:ascii="Times New Roman" w:hAnsi="Times New Roman" w:cs="Times New Roman"/>
          <w:sz w:val="32"/>
          <w:szCs w:val="32"/>
        </w:rPr>
        <w:t xml:space="preserve"> и Вилючинского городского округа (8,8%), фактически равная доля принимавших участие респондентов проживает на территории </w:t>
      </w:r>
      <w:proofErr w:type="spellStart"/>
      <w:r w:rsidR="00185F73" w:rsidRPr="00E63593">
        <w:rPr>
          <w:rFonts w:ascii="Times New Roman" w:hAnsi="Times New Roman" w:cs="Times New Roman"/>
          <w:sz w:val="32"/>
          <w:szCs w:val="32"/>
        </w:rPr>
        <w:t>Мильковского</w:t>
      </w:r>
      <w:proofErr w:type="spellEnd"/>
      <w:r w:rsidR="00185F73" w:rsidRPr="00E63593">
        <w:rPr>
          <w:rFonts w:ascii="Times New Roman" w:hAnsi="Times New Roman" w:cs="Times New Roman"/>
          <w:sz w:val="32"/>
          <w:szCs w:val="32"/>
        </w:rPr>
        <w:t xml:space="preserve"> и Усть-Большерецкого муниципальных районов, наименьшая часть – на территории Усть-Камчатского, Тигильского, Карагинского и </w:t>
      </w:r>
      <w:proofErr w:type="spellStart"/>
      <w:r w:rsidR="00185F73" w:rsidRPr="00E63593">
        <w:rPr>
          <w:rFonts w:ascii="Times New Roman" w:hAnsi="Times New Roman" w:cs="Times New Roman"/>
          <w:sz w:val="32"/>
          <w:szCs w:val="32"/>
        </w:rPr>
        <w:t>Быстринского</w:t>
      </w:r>
      <w:proofErr w:type="spellEnd"/>
      <w:r w:rsidR="00185F73" w:rsidRPr="00E63593">
        <w:rPr>
          <w:rFonts w:ascii="Times New Roman" w:hAnsi="Times New Roman" w:cs="Times New Roman"/>
          <w:sz w:val="32"/>
          <w:szCs w:val="32"/>
        </w:rPr>
        <w:t xml:space="preserve"> муниципальных районов.</w:t>
      </w:r>
    </w:p>
    <w:p w:rsidR="0090691F" w:rsidRPr="00E63593" w:rsidRDefault="0090691F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>При этом половина респондентов проживает в своем населенном пункте с рождения, 34,1%</w:t>
      </w:r>
      <w:r w:rsidR="00D31D16">
        <w:rPr>
          <w:rFonts w:ascii="Times New Roman" w:hAnsi="Times New Roman" w:cs="Times New Roman"/>
          <w:sz w:val="32"/>
          <w:szCs w:val="32"/>
        </w:rPr>
        <w:t xml:space="preserve"> респондентов</w:t>
      </w:r>
      <w:r w:rsidRPr="00E63593">
        <w:rPr>
          <w:rFonts w:ascii="Times New Roman" w:hAnsi="Times New Roman" w:cs="Times New Roman"/>
          <w:sz w:val="32"/>
          <w:szCs w:val="32"/>
        </w:rPr>
        <w:t xml:space="preserve"> – от 10 до 30 лет и только 5,0% респондентов – менее 5 лет.</w:t>
      </w:r>
    </w:p>
    <w:p w:rsidR="0090691F" w:rsidRPr="00E63593" w:rsidRDefault="0090691F" w:rsidP="009069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3E0" w:rsidRPr="00E63593" w:rsidRDefault="0090691F" w:rsidP="0090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593">
        <w:rPr>
          <w:rFonts w:ascii="Times New Roman" w:hAnsi="Times New Roman" w:cs="Times New Roman"/>
          <w:b/>
          <w:sz w:val="32"/>
          <w:szCs w:val="32"/>
        </w:rPr>
        <w:t xml:space="preserve">Длительность проживания респондентов </w:t>
      </w:r>
    </w:p>
    <w:p w:rsidR="0090691F" w:rsidRPr="00E63593" w:rsidRDefault="0090691F" w:rsidP="0090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593">
        <w:rPr>
          <w:rFonts w:ascii="Times New Roman" w:hAnsi="Times New Roman" w:cs="Times New Roman"/>
          <w:b/>
          <w:sz w:val="32"/>
          <w:szCs w:val="32"/>
        </w:rPr>
        <w:t>в своем населенном пункте</w:t>
      </w:r>
    </w:p>
    <w:p w:rsidR="0090691F" w:rsidRPr="00E63593" w:rsidRDefault="0090691F" w:rsidP="009069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91F" w:rsidRPr="0090691F" w:rsidRDefault="006E6461" w:rsidP="00906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FC15E4" wp14:editId="27E0CF67">
            <wp:extent cx="5486400" cy="28879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691F" w:rsidRDefault="0090691F" w:rsidP="009069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3593" w:rsidRPr="00E63593" w:rsidRDefault="00E63593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63167" w:rsidRPr="00E63593" w:rsidRDefault="00063167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>По половому признаку респонденты распределились примерно одинаково, с небольшим преобладанием мужчин (50,3%).</w:t>
      </w:r>
    </w:p>
    <w:p w:rsidR="00731DC1" w:rsidRPr="00E63593" w:rsidRDefault="00731DC1" w:rsidP="0090691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63593">
        <w:rPr>
          <w:rFonts w:ascii="Times New Roman" w:hAnsi="Times New Roman" w:cs="Times New Roman"/>
          <w:sz w:val="32"/>
          <w:szCs w:val="32"/>
        </w:rPr>
        <w:t>По возрасту основной массив</w:t>
      </w:r>
      <w:r w:rsidR="00B10B68" w:rsidRPr="00E63593">
        <w:rPr>
          <w:rFonts w:ascii="Times New Roman" w:hAnsi="Times New Roman" w:cs="Times New Roman"/>
          <w:sz w:val="32"/>
          <w:szCs w:val="32"/>
        </w:rPr>
        <w:t xml:space="preserve"> составили граждане</w:t>
      </w:r>
      <w:r w:rsidR="008A5784" w:rsidRPr="00E63593">
        <w:rPr>
          <w:rFonts w:ascii="Times New Roman" w:hAnsi="Times New Roman" w:cs="Times New Roman"/>
          <w:sz w:val="32"/>
          <w:szCs w:val="32"/>
        </w:rPr>
        <w:t xml:space="preserve"> до 40 </w:t>
      </w:r>
      <w:r w:rsidR="00B10B68" w:rsidRPr="00E63593">
        <w:rPr>
          <w:rFonts w:ascii="Times New Roman" w:hAnsi="Times New Roman" w:cs="Times New Roman"/>
          <w:sz w:val="32"/>
          <w:szCs w:val="32"/>
        </w:rPr>
        <w:t xml:space="preserve">лет </w:t>
      </w:r>
      <w:r w:rsidR="005E0E97" w:rsidRPr="00E63593">
        <w:rPr>
          <w:rFonts w:ascii="Times New Roman" w:hAnsi="Times New Roman" w:cs="Times New Roman"/>
          <w:sz w:val="32"/>
          <w:szCs w:val="32"/>
        </w:rPr>
        <w:t>(</w:t>
      </w:r>
      <w:r w:rsidR="008A5784" w:rsidRPr="00E63593">
        <w:rPr>
          <w:rFonts w:ascii="Times New Roman" w:hAnsi="Times New Roman" w:cs="Times New Roman"/>
          <w:sz w:val="32"/>
          <w:szCs w:val="32"/>
        </w:rPr>
        <w:t>до 29 лет – 21,7</w:t>
      </w:r>
      <w:r w:rsidR="00B10B68" w:rsidRPr="00E63593">
        <w:rPr>
          <w:rFonts w:ascii="Times New Roman" w:hAnsi="Times New Roman" w:cs="Times New Roman"/>
          <w:sz w:val="32"/>
          <w:szCs w:val="32"/>
        </w:rPr>
        <w:t>%</w:t>
      </w:r>
      <w:r w:rsidR="008A5784" w:rsidRPr="00E63593">
        <w:rPr>
          <w:rFonts w:ascii="Times New Roman" w:hAnsi="Times New Roman" w:cs="Times New Roman"/>
          <w:sz w:val="32"/>
          <w:szCs w:val="32"/>
        </w:rPr>
        <w:t xml:space="preserve">, </w:t>
      </w:r>
      <w:r w:rsidR="00D31D16">
        <w:rPr>
          <w:rFonts w:ascii="Times New Roman" w:hAnsi="Times New Roman" w:cs="Times New Roman"/>
          <w:sz w:val="32"/>
          <w:szCs w:val="32"/>
        </w:rPr>
        <w:t>30-</w:t>
      </w:r>
      <w:r w:rsidR="008A5784" w:rsidRPr="00E63593">
        <w:rPr>
          <w:rFonts w:ascii="Times New Roman" w:hAnsi="Times New Roman" w:cs="Times New Roman"/>
          <w:sz w:val="32"/>
          <w:szCs w:val="32"/>
        </w:rPr>
        <w:t>39 лет – 29,0%</w:t>
      </w:r>
      <w:r w:rsidR="005E0E97" w:rsidRPr="00E63593">
        <w:rPr>
          <w:rFonts w:ascii="Times New Roman" w:hAnsi="Times New Roman" w:cs="Times New Roman"/>
          <w:sz w:val="32"/>
          <w:szCs w:val="32"/>
        </w:rPr>
        <w:t>)</w:t>
      </w:r>
      <w:r w:rsidR="008A5784" w:rsidRPr="00E63593">
        <w:rPr>
          <w:rFonts w:ascii="Times New Roman" w:hAnsi="Times New Roman" w:cs="Times New Roman"/>
          <w:sz w:val="32"/>
          <w:szCs w:val="32"/>
        </w:rPr>
        <w:t>.</w:t>
      </w:r>
      <w:r w:rsidR="00B10B68" w:rsidRPr="00E63593">
        <w:rPr>
          <w:rFonts w:ascii="Times New Roman" w:hAnsi="Times New Roman" w:cs="Times New Roman"/>
          <w:sz w:val="32"/>
          <w:szCs w:val="32"/>
        </w:rPr>
        <w:t xml:space="preserve">  </w:t>
      </w:r>
      <w:r w:rsidR="008A5784" w:rsidRPr="00E63593">
        <w:rPr>
          <w:rFonts w:ascii="Times New Roman" w:hAnsi="Times New Roman" w:cs="Times New Roman"/>
          <w:sz w:val="32"/>
          <w:szCs w:val="32"/>
        </w:rPr>
        <w:t>Число опрошенных в возрасте от 40 лет до 49 лет</w:t>
      </w:r>
      <w:r w:rsidR="005F1580" w:rsidRPr="00E63593">
        <w:rPr>
          <w:rFonts w:ascii="Times New Roman" w:hAnsi="Times New Roman" w:cs="Times New Roman"/>
          <w:sz w:val="32"/>
          <w:szCs w:val="32"/>
        </w:rPr>
        <w:t xml:space="preserve"> составило 33,1%</w:t>
      </w:r>
      <w:r w:rsidR="005E0E97" w:rsidRPr="00E63593">
        <w:rPr>
          <w:rFonts w:ascii="Times New Roman" w:hAnsi="Times New Roman" w:cs="Times New Roman"/>
          <w:sz w:val="32"/>
          <w:szCs w:val="32"/>
        </w:rPr>
        <w:t>,</w:t>
      </w:r>
      <w:r w:rsidR="005F1580" w:rsidRPr="00E63593">
        <w:rPr>
          <w:rFonts w:ascii="Times New Roman" w:hAnsi="Times New Roman" w:cs="Times New Roman"/>
          <w:sz w:val="32"/>
          <w:szCs w:val="32"/>
        </w:rPr>
        <w:t xml:space="preserve"> в возрасте от</w:t>
      </w:r>
      <w:r w:rsidR="005E0E97" w:rsidRPr="00E63593">
        <w:rPr>
          <w:rFonts w:ascii="Times New Roman" w:hAnsi="Times New Roman" w:cs="Times New Roman"/>
          <w:sz w:val="32"/>
          <w:szCs w:val="32"/>
        </w:rPr>
        <w:t xml:space="preserve"> </w:t>
      </w:r>
      <w:r w:rsidR="00147E63" w:rsidRPr="00E63593">
        <w:rPr>
          <w:rFonts w:ascii="Times New Roman" w:hAnsi="Times New Roman" w:cs="Times New Roman"/>
          <w:sz w:val="32"/>
          <w:szCs w:val="32"/>
        </w:rPr>
        <w:t>5</w:t>
      </w:r>
      <w:r w:rsidR="005E0E97" w:rsidRPr="00E63593">
        <w:rPr>
          <w:rFonts w:ascii="Times New Roman" w:hAnsi="Times New Roman" w:cs="Times New Roman"/>
          <w:sz w:val="32"/>
          <w:szCs w:val="32"/>
        </w:rPr>
        <w:t>0 лет и старше</w:t>
      </w:r>
      <w:r w:rsidR="005F1580" w:rsidRPr="00E63593">
        <w:rPr>
          <w:rFonts w:ascii="Times New Roman" w:hAnsi="Times New Roman" w:cs="Times New Roman"/>
          <w:sz w:val="32"/>
          <w:szCs w:val="32"/>
        </w:rPr>
        <w:t xml:space="preserve"> – 15,8%</w:t>
      </w:r>
      <w:r w:rsidR="005E0E97" w:rsidRPr="00E6359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7E63" w:rsidRPr="00E63593" w:rsidRDefault="00147E63">
      <w:pPr>
        <w:rPr>
          <w:rFonts w:ascii="Times New Roman" w:hAnsi="Times New Roman" w:cs="Times New Roman"/>
          <w:sz w:val="32"/>
          <w:szCs w:val="32"/>
        </w:rPr>
      </w:pPr>
    </w:p>
    <w:p w:rsidR="00147E63" w:rsidRPr="00E63593" w:rsidRDefault="00147E63" w:rsidP="00147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593">
        <w:rPr>
          <w:rFonts w:ascii="Times New Roman" w:hAnsi="Times New Roman" w:cs="Times New Roman"/>
          <w:b/>
          <w:sz w:val="32"/>
          <w:szCs w:val="32"/>
        </w:rPr>
        <w:t>Половозрастной состав респондентов</w:t>
      </w:r>
    </w:p>
    <w:p w:rsidR="00147E63" w:rsidRDefault="003B2330" w:rsidP="00147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817AC1" wp14:editId="604F443C">
            <wp:extent cx="6187440" cy="2148840"/>
            <wp:effectExtent l="0" t="0" r="381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FEE" w:rsidRDefault="005E0E97" w:rsidP="0093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4540" w:rsidRPr="00937FEE" w:rsidRDefault="00937FEE" w:rsidP="00937FE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Большинство</w:t>
      </w:r>
      <w:r w:rsidR="005E0E97" w:rsidRPr="00937FEE">
        <w:rPr>
          <w:rFonts w:ascii="Times New Roman" w:hAnsi="Times New Roman" w:cs="Times New Roman"/>
          <w:sz w:val="32"/>
          <w:szCs w:val="32"/>
        </w:rPr>
        <w:t xml:space="preserve"> респондентов имеют</w:t>
      </w:r>
      <w:r>
        <w:rPr>
          <w:rFonts w:ascii="Times New Roman" w:hAnsi="Times New Roman" w:cs="Times New Roman"/>
          <w:sz w:val="32"/>
          <w:szCs w:val="32"/>
        </w:rPr>
        <w:t xml:space="preserve"> профессиональное образование (</w:t>
      </w:r>
      <w:r w:rsidR="005E0E97" w:rsidRPr="00937FEE">
        <w:rPr>
          <w:rFonts w:ascii="Times New Roman" w:hAnsi="Times New Roman" w:cs="Times New Roman"/>
          <w:sz w:val="32"/>
          <w:szCs w:val="32"/>
        </w:rPr>
        <w:t>высшее профессиональное,</w:t>
      </w:r>
      <w:r>
        <w:rPr>
          <w:rFonts w:ascii="Times New Roman" w:hAnsi="Times New Roman" w:cs="Times New Roman"/>
          <w:sz w:val="32"/>
          <w:szCs w:val="32"/>
        </w:rPr>
        <w:t xml:space="preserve"> незаконченное высшее – 46,2</w:t>
      </w:r>
      <w:r w:rsidR="005E0E97" w:rsidRPr="00937FEE">
        <w:rPr>
          <w:rFonts w:ascii="Times New Roman" w:hAnsi="Times New Roman" w:cs="Times New Roman"/>
          <w:sz w:val="32"/>
          <w:szCs w:val="32"/>
        </w:rPr>
        <w:t>%</w:t>
      </w:r>
      <w:r>
        <w:rPr>
          <w:rFonts w:ascii="Times New Roman" w:hAnsi="Times New Roman" w:cs="Times New Roman"/>
          <w:sz w:val="32"/>
          <w:szCs w:val="32"/>
        </w:rPr>
        <w:t>,</w:t>
      </w:r>
      <w:r w:rsidR="005E0E97" w:rsidRPr="00937FEE">
        <w:rPr>
          <w:rFonts w:ascii="Times New Roman" w:hAnsi="Times New Roman" w:cs="Times New Roman"/>
          <w:sz w:val="32"/>
          <w:szCs w:val="32"/>
        </w:rPr>
        <w:t xml:space="preserve"> среднее профессиональное </w:t>
      </w:r>
      <w:r>
        <w:rPr>
          <w:rFonts w:ascii="Times New Roman" w:hAnsi="Times New Roman" w:cs="Times New Roman"/>
          <w:sz w:val="32"/>
          <w:szCs w:val="32"/>
        </w:rPr>
        <w:t>– 28,3%)</w:t>
      </w:r>
      <w:r w:rsidR="005E0E97" w:rsidRPr="00937FEE">
        <w:rPr>
          <w:rFonts w:ascii="Times New Roman" w:hAnsi="Times New Roman" w:cs="Times New Roman"/>
          <w:sz w:val="32"/>
          <w:szCs w:val="32"/>
        </w:rPr>
        <w:t>, 21,3%</w:t>
      </w:r>
      <w:r>
        <w:rPr>
          <w:rFonts w:ascii="Times New Roman" w:hAnsi="Times New Roman" w:cs="Times New Roman"/>
          <w:sz w:val="32"/>
          <w:szCs w:val="32"/>
        </w:rPr>
        <w:t xml:space="preserve"> опрошенных имеют</w:t>
      </w:r>
      <w:r w:rsidR="005E0E97" w:rsidRPr="00937FEE">
        <w:rPr>
          <w:rFonts w:ascii="Times New Roman" w:hAnsi="Times New Roman" w:cs="Times New Roman"/>
          <w:sz w:val="32"/>
          <w:szCs w:val="32"/>
        </w:rPr>
        <w:t xml:space="preserve"> среднее общее образование.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4540" w:rsidRPr="00937FEE" w:rsidRDefault="00FF4540">
      <w:pPr>
        <w:rPr>
          <w:rFonts w:ascii="Times New Roman" w:hAnsi="Times New Roman" w:cs="Times New Roman"/>
          <w:sz w:val="32"/>
          <w:szCs w:val="32"/>
        </w:rPr>
      </w:pPr>
    </w:p>
    <w:p w:rsidR="00FF4540" w:rsidRDefault="00FF4540" w:rsidP="00FF4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C3210B" wp14:editId="22D795A3">
            <wp:extent cx="5753100" cy="2583180"/>
            <wp:effectExtent l="38100" t="0" r="1905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4540" w:rsidRPr="00937FEE" w:rsidRDefault="00FF4540">
      <w:pPr>
        <w:rPr>
          <w:rFonts w:ascii="Times New Roman" w:hAnsi="Times New Roman" w:cs="Times New Roman"/>
          <w:sz w:val="32"/>
          <w:szCs w:val="32"/>
        </w:rPr>
      </w:pPr>
    </w:p>
    <w:p w:rsidR="00EE36F2" w:rsidRPr="00937FEE" w:rsidRDefault="00EE36F2" w:rsidP="00E770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37FEE">
        <w:rPr>
          <w:rFonts w:ascii="Times New Roman" w:hAnsi="Times New Roman" w:cs="Times New Roman"/>
          <w:sz w:val="32"/>
          <w:szCs w:val="32"/>
        </w:rPr>
        <w:t xml:space="preserve">Среди опрошенных граждан 440 человек (61,1%) имеют работу и 274 человека (38,1%) </w:t>
      </w:r>
      <w:r w:rsidR="00E77029" w:rsidRPr="00937FEE">
        <w:rPr>
          <w:rFonts w:ascii="Times New Roman" w:hAnsi="Times New Roman" w:cs="Times New Roman"/>
          <w:sz w:val="32"/>
          <w:szCs w:val="32"/>
        </w:rPr>
        <w:t>на момент заполнения анкеты не</w:t>
      </w:r>
      <w:r w:rsidRPr="00937FEE">
        <w:rPr>
          <w:rFonts w:ascii="Times New Roman" w:hAnsi="Times New Roman" w:cs="Times New Roman"/>
          <w:sz w:val="32"/>
          <w:szCs w:val="32"/>
        </w:rPr>
        <w:t xml:space="preserve"> работа</w:t>
      </w:r>
      <w:r w:rsidR="00E77029" w:rsidRPr="00937FEE">
        <w:rPr>
          <w:rFonts w:ascii="Times New Roman" w:hAnsi="Times New Roman" w:cs="Times New Roman"/>
          <w:sz w:val="32"/>
          <w:szCs w:val="32"/>
        </w:rPr>
        <w:t>ли</w:t>
      </w:r>
      <w:r w:rsidRPr="00937FEE">
        <w:rPr>
          <w:rFonts w:ascii="Times New Roman" w:hAnsi="Times New Roman" w:cs="Times New Roman"/>
          <w:sz w:val="32"/>
          <w:szCs w:val="32"/>
        </w:rPr>
        <w:t>.</w:t>
      </w:r>
      <w:r w:rsidR="00E77029" w:rsidRPr="00937FE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F7672" w:rsidRPr="00937FEE" w:rsidRDefault="00611EF3">
      <w:pPr>
        <w:rPr>
          <w:rFonts w:ascii="Times New Roman" w:hAnsi="Times New Roman" w:cs="Times New Roman"/>
          <w:sz w:val="32"/>
          <w:szCs w:val="32"/>
        </w:rPr>
      </w:pPr>
      <w:r w:rsidRPr="00937FEE">
        <w:rPr>
          <w:rFonts w:ascii="Times New Roman" w:hAnsi="Times New Roman" w:cs="Times New Roman"/>
          <w:sz w:val="32"/>
          <w:szCs w:val="32"/>
        </w:rPr>
        <w:tab/>
        <w:t>Респонденты</w:t>
      </w:r>
      <w:r w:rsidR="00BF7672" w:rsidRPr="00937FEE">
        <w:rPr>
          <w:rFonts w:ascii="Times New Roman" w:hAnsi="Times New Roman" w:cs="Times New Roman"/>
          <w:sz w:val="32"/>
          <w:szCs w:val="32"/>
        </w:rPr>
        <w:t xml:space="preserve"> достаточно стабильны в своей профессиональной деятельности</w:t>
      </w:r>
      <w:r w:rsidR="00A75FCB" w:rsidRPr="00937FEE">
        <w:rPr>
          <w:rFonts w:ascii="Times New Roman" w:hAnsi="Times New Roman" w:cs="Times New Roman"/>
          <w:sz w:val="32"/>
          <w:szCs w:val="32"/>
        </w:rPr>
        <w:t xml:space="preserve"> – среднее время работы на одном месте составляет у </w:t>
      </w:r>
      <w:r w:rsidRPr="00937FEE">
        <w:rPr>
          <w:rFonts w:ascii="Times New Roman" w:hAnsi="Times New Roman" w:cs="Times New Roman"/>
          <w:sz w:val="32"/>
          <w:szCs w:val="32"/>
        </w:rPr>
        <w:t>36,9</w:t>
      </w:r>
      <w:r w:rsidR="00A75FCB" w:rsidRPr="00937FEE">
        <w:rPr>
          <w:rFonts w:ascii="Times New Roman" w:hAnsi="Times New Roman" w:cs="Times New Roman"/>
          <w:sz w:val="32"/>
          <w:szCs w:val="32"/>
        </w:rPr>
        <w:t>% более пяти лет.</w:t>
      </w:r>
    </w:p>
    <w:p w:rsidR="00203CDF" w:rsidRDefault="00203CDF" w:rsidP="000C21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936" w:rsidRPr="00937FEE" w:rsidRDefault="000C2124" w:rsidP="000C21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FEE">
        <w:rPr>
          <w:rFonts w:ascii="Times New Roman" w:hAnsi="Times New Roman" w:cs="Times New Roman"/>
          <w:b/>
          <w:sz w:val="32"/>
          <w:szCs w:val="32"/>
        </w:rPr>
        <w:t xml:space="preserve">Продолжительность трудовой деятельности </w:t>
      </w:r>
    </w:p>
    <w:p w:rsidR="000C2124" w:rsidRPr="00937FEE" w:rsidRDefault="000C2124" w:rsidP="000C2124">
      <w:pPr>
        <w:jc w:val="center"/>
        <w:rPr>
          <w:rFonts w:ascii="Times New Roman" w:hAnsi="Times New Roman" w:cs="Times New Roman"/>
          <w:sz w:val="32"/>
          <w:szCs w:val="32"/>
        </w:rPr>
      </w:pPr>
      <w:r w:rsidRPr="00937FEE">
        <w:rPr>
          <w:rFonts w:ascii="Times New Roman" w:hAnsi="Times New Roman" w:cs="Times New Roman"/>
          <w:b/>
          <w:sz w:val="32"/>
          <w:szCs w:val="32"/>
        </w:rPr>
        <w:t>респондентов на момент заполнения</w:t>
      </w:r>
      <w:r w:rsidR="00F12936" w:rsidRPr="00937FEE">
        <w:rPr>
          <w:rFonts w:ascii="Times New Roman" w:hAnsi="Times New Roman" w:cs="Times New Roman"/>
          <w:b/>
          <w:sz w:val="32"/>
          <w:szCs w:val="32"/>
        </w:rPr>
        <w:t xml:space="preserve"> анкеты</w:t>
      </w:r>
    </w:p>
    <w:p w:rsidR="00F12936" w:rsidRPr="00937FEE" w:rsidRDefault="00F12936" w:rsidP="000C2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2936" w:rsidRDefault="00F12936" w:rsidP="000C2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B87B33" wp14:editId="395B3BFA">
            <wp:extent cx="5486400" cy="21717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0C73" w:rsidRPr="00484858" w:rsidRDefault="00220C73" w:rsidP="00681C2C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220C73" w:rsidRPr="00484858" w:rsidRDefault="00220C73" w:rsidP="00681C2C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147E63" w:rsidRPr="00484858" w:rsidRDefault="00265232" w:rsidP="00681C2C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484858">
        <w:rPr>
          <w:rFonts w:ascii="Times New Roman" w:hAnsi="Times New Roman" w:cs="Times New Roman"/>
          <w:sz w:val="32"/>
          <w:szCs w:val="32"/>
        </w:rPr>
        <w:t xml:space="preserve">На вопрос «Удовлетворены ли Вы своей настоящей работой?» 32,1% респондентов ответили утвердительно, </w:t>
      </w:r>
      <w:r w:rsidR="00681C2C" w:rsidRPr="00484858">
        <w:rPr>
          <w:rFonts w:ascii="Times New Roman" w:hAnsi="Times New Roman" w:cs="Times New Roman"/>
          <w:sz w:val="32"/>
          <w:szCs w:val="32"/>
        </w:rPr>
        <w:t xml:space="preserve">29,7% респондентов совершенно недовольны </w:t>
      </w:r>
      <w:r w:rsidR="00DF5E8B" w:rsidRPr="00484858">
        <w:rPr>
          <w:rFonts w:ascii="Times New Roman" w:hAnsi="Times New Roman" w:cs="Times New Roman"/>
          <w:sz w:val="32"/>
          <w:szCs w:val="32"/>
        </w:rPr>
        <w:t>своим местом</w:t>
      </w:r>
      <w:r w:rsidR="00681C2C" w:rsidRPr="00484858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DF5E8B" w:rsidRPr="00484858">
        <w:rPr>
          <w:rFonts w:ascii="Times New Roman" w:hAnsi="Times New Roman" w:cs="Times New Roman"/>
          <w:sz w:val="32"/>
          <w:szCs w:val="32"/>
        </w:rPr>
        <w:t>ы</w:t>
      </w:r>
      <w:r w:rsidR="00681C2C" w:rsidRPr="00484858">
        <w:rPr>
          <w:rFonts w:ascii="Times New Roman" w:hAnsi="Times New Roman" w:cs="Times New Roman"/>
          <w:sz w:val="32"/>
          <w:szCs w:val="32"/>
        </w:rPr>
        <w:t>.</w:t>
      </w:r>
    </w:p>
    <w:p w:rsidR="00681C2C" w:rsidRPr="00484858" w:rsidRDefault="00681C2C" w:rsidP="00681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1C2C" w:rsidRPr="00484858" w:rsidRDefault="00681C2C" w:rsidP="0068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858">
        <w:rPr>
          <w:rFonts w:ascii="Times New Roman" w:hAnsi="Times New Roman" w:cs="Times New Roman"/>
          <w:b/>
          <w:sz w:val="32"/>
          <w:szCs w:val="32"/>
        </w:rPr>
        <w:t>Удовлетворенность работой в настоящее время</w:t>
      </w:r>
    </w:p>
    <w:p w:rsidR="00681C2C" w:rsidRDefault="00681C2C" w:rsidP="00681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C2C" w:rsidRDefault="00681C2C" w:rsidP="00681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18C799" wp14:editId="5DAE3A5B">
            <wp:extent cx="5486400" cy="21488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36AF" w:rsidRDefault="005D36AF" w:rsidP="00681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858" w:rsidRDefault="00484858" w:rsidP="005D36AF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1B5AF1" w:rsidRPr="00484858" w:rsidRDefault="005D36AF" w:rsidP="005D36AF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484858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484858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Pr="00484858">
        <w:rPr>
          <w:rFonts w:ascii="Times New Roman" w:hAnsi="Times New Roman" w:cs="Times New Roman"/>
          <w:sz w:val="32"/>
          <w:szCs w:val="32"/>
        </w:rPr>
        <w:t xml:space="preserve"> «При каких условиях Вы не смените место постоянного проживания ради новой работы?» респондентам предлагалось выбрать до трех вариантов ответа. </w:t>
      </w:r>
      <w:r w:rsidR="00ED77B0" w:rsidRPr="00484858">
        <w:rPr>
          <w:rFonts w:ascii="Times New Roman" w:hAnsi="Times New Roman" w:cs="Times New Roman"/>
          <w:sz w:val="32"/>
          <w:szCs w:val="32"/>
        </w:rPr>
        <w:t xml:space="preserve">Опрошенные ценят в первую очередь уровень заработной платы, возможность карьерного роста и самореализации, </w:t>
      </w:r>
      <w:r w:rsidR="001B5AF1" w:rsidRPr="00484858">
        <w:rPr>
          <w:rFonts w:ascii="Times New Roman" w:hAnsi="Times New Roman" w:cs="Times New Roman"/>
          <w:sz w:val="32"/>
          <w:szCs w:val="32"/>
        </w:rPr>
        <w:t>наличие отлаженной системы предоставления социальных услуг, возможность улучшения жилищных условий.</w:t>
      </w:r>
    </w:p>
    <w:p w:rsidR="001B5AF1" w:rsidRPr="00484858" w:rsidRDefault="001B5AF1" w:rsidP="001B5AF1">
      <w:pPr>
        <w:rPr>
          <w:rFonts w:ascii="Times New Roman" w:hAnsi="Times New Roman" w:cs="Times New Roman"/>
          <w:sz w:val="32"/>
          <w:szCs w:val="32"/>
        </w:rPr>
      </w:pPr>
    </w:p>
    <w:p w:rsidR="00CD49DF" w:rsidRDefault="00CD49DF" w:rsidP="001B5A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6AF" w:rsidRPr="00484858" w:rsidRDefault="001B5AF1" w:rsidP="001B5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858">
        <w:rPr>
          <w:rFonts w:ascii="Times New Roman" w:hAnsi="Times New Roman" w:cs="Times New Roman"/>
          <w:b/>
          <w:sz w:val="32"/>
          <w:szCs w:val="32"/>
        </w:rPr>
        <w:t>Условия, при которых респонденты не сменят место постоянного проживания ради новой работы</w:t>
      </w:r>
    </w:p>
    <w:p w:rsidR="004E7043" w:rsidRDefault="004E7043" w:rsidP="001B5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43" w:rsidRDefault="004E7043" w:rsidP="001B5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01A5FB" wp14:editId="5A493765">
            <wp:extent cx="6240780" cy="3589020"/>
            <wp:effectExtent l="0" t="0" r="2667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7EE3" w:rsidRDefault="00047EE3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886425" w:rsidRPr="00047EE3" w:rsidRDefault="00886425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47EE3">
        <w:rPr>
          <w:rFonts w:ascii="Times New Roman" w:hAnsi="Times New Roman" w:cs="Times New Roman"/>
          <w:sz w:val="32"/>
          <w:szCs w:val="32"/>
        </w:rPr>
        <w:t>Поменять место постоянного проживания ради работы, которая бы устраивала респондентов, могли бы 42,9% опрошенных.</w:t>
      </w:r>
    </w:p>
    <w:p w:rsidR="00415364" w:rsidRPr="00047EE3" w:rsidRDefault="00415364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47EE3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047EE3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Pr="00047EE3">
        <w:rPr>
          <w:rFonts w:ascii="Times New Roman" w:hAnsi="Times New Roman" w:cs="Times New Roman"/>
          <w:sz w:val="32"/>
          <w:szCs w:val="32"/>
        </w:rPr>
        <w:t xml:space="preserve"> «На какой срок Вы готовы трудоустроиться за пределами Вашего места постоянного проживания?» 30,6% респондентов ответили, что готовы переехать навсегда</w:t>
      </w:r>
      <w:r w:rsidR="002B7469" w:rsidRPr="00047EE3">
        <w:rPr>
          <w:rFonts w:ascii="Times New Roman" w:hAnsi="Times New Roman" w:cs="Times New Roman"/>
          <w:sz w:val="32"/>
          <w:szCs w:val="32"/>
        </w:rPr>
        <w:t>, 12,1% устроила бы работа вахтовым или сезонным методом</w:t>
      </w:r>
      <w:r w:rsidRPr="00047EE3">
        <w:rPr>
          <w:rFonts w:ascii="Times New Roman" w:hAnsi="Times New Roman" w:cs="Times New Roman"/>
          <w:sz w:val="32"/>
          <w:szCs w:val="32"/>
        </w:rPr>
        <w:t>.</w:t>
      </w:r>
    </w:p>
    <w:p w:rsidR="006A0963" w:rsidRDefault="006A0963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DF" w:rsidRDefault="00203C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6DF" w:rsidRPr="00047EE3" w:rsidRDefault="004C36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EE3">
        <w:rPr>
          <w:rFonts w:ascii="Times New Roman" w:hAnsi="Times New Roman" w:cs="Times New Roman"/>
          <w:b/>
          <w:sz w:val="32"/>
          <w:szCs w:val="32"/>
        </w:rPr>
        <w:t xml:space="preserve">Срок, на который готовы трудоустроиться респонденты </w:t>
      </w:r>
    </w:p>
    <w:p w:rsidR="00415364" w:rsidRDefault="004C36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EE3">
        <w:rPr>
          <w:rFonts w:ascii="Times New Roman" w:hAnsi="Times New Roman" w:cs="Times New Roman"/>
          <w:b/>
          <w:sz w:val="32"/>
          <w:szCs w:val="32"/>
        </w:rPr>
        <w:t>за пределами места постоянного проживания</w:t>
      </w:r>
    </w:p>
    <w:p w:rsidR="00CD49DF" w:rsidRDefault="00CD49DF" w:rsidP="004153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364" w:rsidRDefault="00415364" w:rsidP="00415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DEF3C9" wp14:editId="153B4269">
            <wp:extent cx="5791200" cy="2278380"/>
            <wp:effectExtent l="38100" t="0" r="1905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86425" w:rsidRDefault="00886425" w:rsidP="008864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48A9" w:rsidRDefault="00A16125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6A0963">
        <w:rPr>
          <w:rFonts w:ascii="Times New Roman" w:hAnsi="Times New Roman" w:cs="Times New Roman"/>
          <w:sz w:val="32"/>
          <w:szCs w:val="32"/>
        </w:rPr>
        <w:t xml:space="preserve">На вопрос «Где бы Вы предпочли трудоустроиться, если бы приняли решение менять работу?» практически одинаковая часть респондентов выбрала крупные города Москва и Санкт-Петербург (17,5%),  Дальний Восток (16,1%), Южную часть России (15,1%), Центральную часть России (13,8%). В другой стране </w:t>
      </w:r>
      <w:proofErr w:type="gramStart"/>
      <w:r w:rsidRPr="006A0963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6A0963">
        <w:rPr>
          <w:rFonts w:ascii="Times New Roman" w:hAnsi="Times New Roman" w:cs="Times New Roman"/>
          <w:sz w:val="32"/>
          <w:szCs w:val="32"/>
        </w:rPr>
        <w:t xml:space="preserve"> работать лишь 7,2% респондентов.</w:t>
      </w:r>
    </w:p>
    <w:p w:rsidR="00521DF5" w:rsidRDefault="00521DF5" w:rsidP="00521D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DF5" w:rsidRDefault="00521DF5" w:rsidP="00521D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6F6833" wp14:editId="55FD2CE4">
            <wp:extent cx="5486400" cy="2964180"/>
            <wp:effectExtent l="0" t="0" r="19050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1DF5" w:rsidRDefault="00521DF5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5E5A6F" w:rsidRDefault="005E5A6F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51,3% респондентов в окружении есть родственники (соседи, друзья)</w:t>
      </w:r>
      <w:r w:rsidR="00011FD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работают за пределами своего места постоянного проживания. Основными причинами, по которым родственники (соседи, друзья) работают за пределами своего места постоянного проживания, респонденты называют </w:t>
      </w:r>
      <w:r w:rsidR="0063346B">
        <w:rPr>
          <w:rFonts w:ascii="Times New Roman" w:hAnsi="Times New Roman" w:cs="Times New Roman"/>
          <w:sz w:val="32"/>
          <w:szCs w:val="32"/>
        </w:rPr>
        <w:t>низкую заработную плату, отсутствие работы по профессии (специальности), отсутствие транспортной и информационной доступности.</w:t>
      </w:r>
    </w:p>
    <w:p w:rsidR="00567403" w:rsidRDefault="00567403" w:rsidP="00886425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A16125" w:rsidRDefault="004048A9" w:rsidP="00886425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40CA1">
        <w:rPr>
          <w:rFonts w:ascii="Times New Roman" w:hAnsi="Times New Roman" w:cs="Times New Roman"/>
          <w:b/>
          <w:sz w:val="32"/>
          <w:szCs w:val="32"/>
        </w:rPr>
        <w:t>Вывод</w:t>
      </w:r>
      <w:r w:rsidR="00D56267">
        <w:rPr>
          <w:rFonts w:ascii="Times New Roman" w:hAnsi="Times New Roman" w:cs="Times New Roman"/>
          <w:b/>
          <w:sz w:val="32"/>
          <w:szCs w:val="32"/>
        </w:rPr>
        <w:t>ы</w:t>
      </w:r>
      <w:r w:rsidR="00567403">
        <w:rPr>
          <w:rFonts w:ascii="Times New Roman" w:hAnsi="Times New Roman" w:cs="Times New Roman"/>
          <w:b/>
          <w:sz w:val="32"/>
          <w:szCs w:val="32"/>
        </w:rPr>
        <w:t xml:space="preserve"> по опросу</w:t>
      </w:r>
      <w:r w:rsidRPr="00C40CA1">
        <w:rPr>
          <w:rFonts w:ascii="Times New Roman" w:hAnsi="Times New Roman" w:cs="Times New Roman"/>
          <w:b/>
          <w:sz w:val="32"/>
          <w:szCs w:val="32"/>
        </w:rPr>
        <w:t>:</w:t>
      </w:r>
    </w:p>
    <w:p w:rsidR="006E4D6E" w:rsidRPr="006E4D6E" w:rsidRDefault="006E4D6E" w:rsidP="0088642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48A9" w:rsidRDefault="004048A9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то, что практически каждый третий из опрошенных граждан не удовлетворен своей настоящей работой, почти 50,0% респондентов не хотели бы менять место постоянного проживания ради новой работы.</w:t>
      </w:r>
    </w:p>
    <w:p w:rsidR="004048A9" w:rsidRDefault="004048A9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случае принятия решения поменять работу 31,0% респондентов готовы </w:t>
      </w:r>
      <w:r w:rsidR="00D56267">
        <w:rPr>
          <w:rFonts w:ascii="Times New Roman" w:hAnsi="Times New Roman" w:cs="Times New Roman"/>
          <w:sz w:val="32"/>
          <w:szCs w:val="32"/>
        </w:rPr>
        <w:t xml:space="preserve">трудоустроиться за пределами </w:t>
      </w:r>
      <w:r>
        <w:rPr>
          <w:rFonts w:ascii="Times New Roman" w:hAnsi="Times New Roman" w:cs="Times New Roman"/>
          <w:sz w:val="32"/>
          <w:szCs w:val="32"/>
        </w:rPr>
        <w:t xml:space="preserve"> мест</w:t>
      </w:r>
      <w:r w:rsidR="00D5626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постоянного проживания</w:t>
      </w:r>
      <w:r w:rsidR="00D56267">
        <w:rPr>
          <w:rFonts w:ascii="Times New Roman" w:hAnsi="Times New Roman" w:cs="Times New Roman"/>
          <w:sz w:val="32"/>
          <w:szCs w:val="32"/>
        </w:rPr>
        <w:t xml:space="preserve"> либо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D56267">
        <w:rPr>
          <w:rFonts w:ascii="Times New Roman" w:hAnsi="Times New Roman" w:cs="Times New Roman"/>
          <w:sz w:val="32"/>
          <w:szCs w:val="32"/>
        </w:rPr>
        <w:t>ограниченный срок (9,9% – не более года, 9,0% – до 5 лет)</w:t>
      </w:r>
      <w:r w:rsidR="00A26305">
        <w:rPr>
          <w:rFonts w:ascii="Times New Roman" w:hAnsi="Times New Roman" w:cs="Times New Roman"/>
          <w:sz w:val="32"/>
          <w:szCs w:val="32"/>
        </w:rPr>
        <w:t>,</w:t>
      </w:r>
      <w:r w:rsidR="00D56267">
        <w:rPr>
          <w:rFonts w:ascii="Times New Roman" w:hAnsi="Times New Roman" w:cs="Times New Roman"/>
          <w:sz w:val="32"/>
          <w:szCs w:val="32"/>
        </w:rPr>
        <w:t xml:space="preserve"> либо</w:t>
      </w:r>
      <w:r w:rsidR="00C40CA1">
        <w:rPr>
          <w:rFonts w:ascii="Times New Roman" w:hAnsi="Times New Roman" w:cs="Times New Roman"/>
          <w:sz w:val="32"/>
          <w:szCs w:val="32"/>
        </w:rPr>
        <w:t xml:space="preserve"> работать вахтовым или сезонным методом</w:t>
      </w:r>
      <w:r w:rsidR="00D56267">
        <w:rPr>
          <w:rFonts w:ascii="Times New Roman" w:hAnsi="Times New Roman" w:cs="Times New Roman"/>
          <w:sz w:val="32"/>
          <w:szCs w:val="32"/>
        </w:rPr>
        <w:t xml:space="preserve"> (12,1%)</w:t>
      </w:r>
      <w:r w:rsidR="00C40CA1">
        <w:rPr>
          <w:rFonts w:ascii="Times New Roman" w:hAnsi="Times New Roman" w:cs="Times New Roman"/>
          <w:sz w:val="32"/>
          <w:szCs w:val="32"/>
        </w:rPr>
        <w:t>.</w:t>
      </w:r>
    </w:p>
    <w:p w:rsidR="00A9252A" w:rsidRDefault="00A9252A" w:rsidP="00886425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факторов, влияющих на трудоустройство за пределами места постоянного проживания, респонденты выделяют</w:t>
      </w:r>
      <w:r w:rsidR="006334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уровень заработной платы,</w:t>
      </w:r>
      <w:r w:rsidR="0063346B">
        <w:rPr>
          <w:rFonts w:ascii="Times New Roman" w:hAnsi="Times New Roman" w:cs="Times New Roman"/>
          <w:sz w:val="32"/>
          <w:szCs w:val="32"/>
        </w:rPr>
        <w:t xml:space="preserve"> наличие стабильных социальных и государственных гарантий, наличие развитой инфраструктуры, уровень цен в регионе, возможность карьерного роста.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2515" w:rsidRDefault="00882515" w:rsidP="00882515">
      <w:pPr>
        <w:rPr>
          <w:rFonts w:ascii="Times New Roman" w:hAnsi="Times New Roman" w:cs="Times New Roman"/>
          <w:sz w:val="32"/>
          <w:szCs w:val="32"/>
        </w:rPr>
      </w:pPr>
    </w:p>
    <w:p w:rsidR="00882515" w:rsidRDefault="00882515" w:rsidP="00882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515">
        <w:rPr>
          <w:rFonts w:ascii="Times New Roman" w:hAnsi="Times New Roman" w:cs="Times New Roman"/>
          <w:b/>
          <w:sz w:val="32"/>
          <w:szCs w:val="32"/>
        </w:rPr>
        <w:t>Факторы,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 которых респонденты не искали бы себе работу за пределами места постоянного проживания</w:t>
      </w:r>
    </w:p>
    <w:p w:rsidR="006100A9" w:rsidRPr="006100A9" w:rsidRDefault="006100A9" w:rsidP="00882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0A9">
        <w:rPr>
          <w:rFonts w:ascii="Times New Roman" w:hAnsi="Times New Roman" w:cs="Times New Roman"/>
          <w:sz w:val="24"/>
          <w:szCs w:val="24"/>
        </w:rPr>
        <w:t>(респондентам предлагалось выбрать несколько вариантов ответов)</w:t>
      </w:r>
    </w:p>
    <w:p w:rsidR="006F0612" w:rsidRPr="006F0612" w:rsidRDefault="006F0612" w:rsidP="00882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15" w:rsidRPr="006F0612" w:rsidRDefault="00882515" w:rsidP="00882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1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B001CA" wp14:editId="37418FDB">
            <wp:extent cx="6316980" cy="3009900"/>
            <wp:effectExtent l="0" t="0" r="2667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0612" w:rsidRPr="006F0612" w:rsidRDefault="006F0612" w:rsidP="00882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D6E" w:rsidRDefault="006E4D6E" w:rsidP="006E4D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4D6E" w:rsidSect="009D7360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72" w:rsidRDefault="00D30772" w:rsidP="00F049F4">
      <w:r>
        <w:separator/>
      </w:r>
    </w:p>
  </w:endnote>
  <w:endnote w:type="continuationSeparator" w:id="0">
    <w:p w:rsidR="00D30772" w:rsidRDefault="00D30772" w:rsidP="00F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72" w:rsidRDefault="00D30772" w:rsidP="00F049F4">
      <w:r>
        <w:separator/>
      </w:r>
    </w:p>
  </w:footnote>
  <w:footnote w:type="continuationSeparator" w:id="0">
    <w:p w:rsidR="00D30772" w:rsidRDefault="00D30772" w:rsidP="00F0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7"/>
    <w:rsid w:val="00011FD7"/>
    <w:rsid w:val="00047EE3"/>
    <w:rsid w:val="00055684"/>
    <w:rsid w:val="00063167"/>
    <w:rsid w:val="000C2124"/>
    <w:rsid w:val="000C2794"/>
    <w:rsid w:val="00147E63"/>
    <w:rsid w:val="00185F73"/>
    <w:rsid w:val="00190D12"/>
    <w:rsid w:val="00196FDC"/>
    <w:rsid w:val="001B5AF1"/>
    <w:rsid w:val="001E697C"/>
    <w:rsid w:val="001F2733"/>
    <w:rsid w:val="00203CDF"/>
    <w:rsid w:val="00220C73"/>
    <w:rsid w:val="00253814"/>
    <w:rsid w:val="00260C2A"/>
    <w:rsid w:val="00265232"/>
    <w:rsid w:val="002B7469"/>
    <w:rsid w:val="002C1E6C"/>
    <w:rsid w:val="00360FE3"/>
    <w:rsid w:val="00384FF8"/>
    <w:rsid w:val="003B2330"/>
    <w:rsid w:val="004048A9"/>
    <w:rsid w:val="00415364"/>
    <w:rsid w:val="00484858"/>
    <w:rsid w:val="004C36DF"/>
    <w:rsid w:val="004E7043"/>
    <w:rsid w:val="004F5F66"/>
    <w:rsid w:val="00521DF5"/>
    <w:rsid w:val="00567403"/>
    <w:rsid w:val="005733E0"/>
    <w:rsid w:val="005751B8"/>
    <w:rsid w:val="005A2DE0"/>
    <w:rsid w:val="005B39CA"/>
    <w:rsid w:val="005D36AF"/>
    <w:rsid w:val="005D4A59"/>
    <w:rsid w:val="005E0E97"/>
    <w:rsid w:val="005E2A17"/>
    <w:rsid w:val="005E3B60"/>
    <w:rsid w:val="005E5A6F"/>
    <w:rsid w:val="005E749E"/>
    <w:rsid w:val="005F1580"/>
    <w:rsid w:val="006100A9"/>
    <w:rsid w:val="00611EF3"/>
    <w:rsid w:val="0063346B"/>
    <w:rsid w:val="00681C2C"/>
    <w:rsid w:val="006A0521"/>
    <w:rsid w:val="006A0963"/>
    <w:rsid w:val="006C7010"/>
    <w:rsid w:val="006E4D6E"/>
    <w:rsid w:val="006E6461"/>
    <w:rsid w:val="006F0612"/>
    <w:rsid w:val="0071353B"/>
    <w:rsid w:val="00731DC1"/>
    <w:rsid w:val="007A42F3"/>
    <w:rsid w:val="007B5640"/>
    <w:rsid w:val="007C1D2F"/>
    <w:rsid w:val="007C45A2"/>
    <w:rsid w:val="007D68B5"/>
    <w:rsid w:val="007D7F9F"/>
    <w:rsid w:val="00882515"/>
    <w:rsid w:val="00886425"/>
    <w:rsid w:val="008A5784"/>
    <w:rsid w:val="00903034"/>
    <w:rsid w:val="0090691F"/>
    <w:rsid w:val="00912FF0"/>
    <w:rsid w:val="00922DCB"/>
    <w:rsid w:val="00930962"/>
    <w:rsid w:val="00937FEE"/>
    <w:rsid w:val="009D27C8"/>
    <w:rsid w:val="009D7360"/>
    <w:rsid w:val="009F4BE4"/>
    <w:rsid w:val="00A16125"/>
    <w:rsid w:val="00A227D6"/>
    <w:rsid w:val="00A26305"/>
    <w:rsid w:val="00A57698"/>
    <w:rsid w:val="00A75FCB"/>
    <w:rsid w:val="00A9252A"/>
    <w:rsid w:val="00A9718F"/>
    <w:rsid w:val="00AA21C1"/>
    <w:rsid w:val="00AB7E70"/>
    <w:rsid w:val="00B008C9"/>
    <w:rsid w:val="00B06CE4"/>
    <w:rsid w:val="00B10B68"/>
    <w:rsid w:val="00B24CDE"/>
    <w:rsid w:val="00B24D6F"/>
    <w:rsid w:val="00B26C30"/>
    <w:rsid w:val="00B44344"/>
    <w:rsid w:val="00B5768C"/>
    <w:rsid w:val="00BB0B10"/>
    <w:rsid w:val="00BF7672"/>
    <w:rsid w:val="00C40CA1"/>
    <w:rsid w:val="00C46BBD"/>
    <w:rsid w:val="00C932AC"/>
    <w:rsid w:val="00CD49DF"/>
    <w:rsid w:val="00D03B3E"/>
    <w:rsid w:val="00D17209"/>
    <w:rsid w:val="00D30772"/>
    <w:rsid w:val="00D31D16"/>
    <w:rsid w:val="00D56267"/>
    <w:rsid w:val="00DF5E8B"/>
    <w:rsid w:val="00E23318"/>
    <w:rsid w:val="00E25ED6"/>
    <w:rsid w:val="00E63593"/>
    <w:rsid w:val="00E77029"/>
    <w:rsid w:val="00ED77B0"/>
    <w:rsid w:val="00EE36F2"/>
    <w:rsid w:val="00F049F4"/>
    <w:rsid w:val="00F12936"/>
    <w:rsid w:val="00F43FF7"/>
    <w:rsid w:val="00F46293"/>
    <w:rsid w:val="00F967D5"/>
    <w:rsid w:val="00FE303F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F15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F15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5F15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rsid w:val="005F15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04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F4"/>
  </w:style>
  <w:style w:type="paragraph" w:styleId="ab">
    <w:name w:val="footer"/>
    <w:basedOn w:val="a"/>
    <w:link w:val="ac"/>
    <w:uiPriority w:val="99"/>
    <w:unhideWhenUsed/>
    <w:rsid w:val="00F04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F15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F15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5F15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rsid w:val="005F15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04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F4"/>
  </w:style>
  <w:style w:type="paragraph" w:styleId="ab">
    <w:name w:val="footer"/>
    <w:basedOn w:val="a"/>
    <w:link w:val="ac"/>
    <w:uiPriority w:val="99"/>
    <w:unhideWhenUsed/>
    <w:rsid w:val="00F04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35013852435112"/>
          <c:y val="1.5844292550502428E-2"/>
          <c:w val="0.49599044911052786"/>
          <c:h val="0.942250985117625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7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</c:spPr>
          </c:dPt>
          <c:dLbls>
            <c:dLbl>
              <c:idx val="0"/>
              <c:layout>
                <c:manualLayout>
                  <c:x val="-0.11150754593175853"/>
                  <c:y val="-2.18651098691819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6278707349081371E-2"/>
                  <c:y val="-0.1481312197452890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84556357538641"/>
                  <c:y val="3.68451305064439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2550306211723536E-2"/>
                  <c:y val="0.1300711916287508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184219160104987E-2"/>
                  <c:y val="8.33333333333333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delete val="1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С рождения</c:v>
                </c:pt>
                <c:pt idx="1">
                  <c:v>20-30 лет</c:v>
                </c:pt>
                <c:pt idx="2">
                  <c:v>10-20 лет</c:v>
                </c:pt>
                <c:pt idx="3">
                  <c:v>5-10 лет</c:v>
                </c:pt>
                <c:pt idx="4">
                  <c:v>менее 5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363</c:v>
                </c:pt>
                <c:pt idx="1">
                  <c:v>153</c:v>
                </c:pt>
                <c:pt idx="2">
                  <c:v>92</c:v>
                </c:pt>
                <c:pt idx="3">
                  <c:v>67</c:v>
                </c:pt>
                <c:pt idx="4">
                  <c:v>36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6888998250218723"/>
          <c:y val="0.16653820317315216"/>
          <c:w val="0.26166557305336835"/>
          <c:h val="0.5734026996625422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 респондентов</a:t>
            </a:r>
          </a:p>
        </c:rich>
      </c:tx>
      <c:layout>
        <c:manualLayout>
          <c:xMode val="edge"/>
          <c:yMode val="edge"/>
          <c:x val="2.1997627451740945E-2"/>
          <c:y val="0.68924349881796687"/>
        </c:manualLayout>
      </c:layout>
      <c:overlay val="1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415412406342205"/>
          <c:y val="2.7573824172300004E-2"/>
          <c:w val="0.68811188472130635"/>
          <c:h val="0.9724264190258660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99CC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до 29 лет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21,7%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1436227224008574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Мужской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50,3% 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156</c:v>
                </c:pt>
                <c:pt idx="1">
                  <c:v>362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30-39 лет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29,0%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Женский 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49,0%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209</c:v>
                </c:pt>
                <c:pt idx="1">
                  <c:v>353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40-49 лет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33,1%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50-59 лет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12,2%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523583258989177E-2"/>
                  <c:y val="-0.21805811507604103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60 лет 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и старше</a:t>
                    </a:r>
                  </a:p>
                  <a:p>
                    <a:r>
                      <a:rPr lang="ru-RU" b="1" i="0" baseline="0">
                        <a:latin typeface="Times New Roman" panose="02020603050405020304" pitchFamily="18" charset="0"/>
                      </a:rPr>
                      <a:t>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122"/>
        <c:shape val="box"/>
        <c:axId val="114448640"/>
        <c:axId val="116269056"/>
        <c:axId val="0"/>
      </c:bar3DChart>
      <c:catAx>
        <c:axId val="114448640"/>
        <c:scaling>
          <c:orientation val="minMax"/>
        </c:scaling>
        <c:delete val="1"/>
        <c:axPos val="l"/>
        <c:majorTickMark val="out"/>
        <c:minorTickMark val="none"/>
        <c:tickLblPos val="nextTo"/>
        <c:crossAx val="116269056"/>
        <c:crosses val="autoZero"/>
        <c:auto val="1"/>
        <c:lblAlgn val="ctr"/>
        <c:lblOffset val="100"/>
        <c:noMultiLvlLbl val="0"/>
      </c:catAx>
      <c:valAx>
        <c:axId val="1162690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r>
                  <a:rPr lang="ru-RU" sz="1200" baseline="0">
                    <a:latin typeface="Times New Roman" panose="02020603050405020304" pitchFamily="18" charset="0"/>
                  </a:rPr>
                  <a:t>Пол респондентов</a:t>
                </a:r>
              </a:p>
            </c:rich>
          </c:tx>
          <c:layout>
            <c:manualLayout>
              <c:xMode val="edge"/>
              <c:yMode val="edge"/>
              <c:x val="5.6981239414038765E-2"/>
              <c:y val="0.28176318385733701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114448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619860017497814E-2"/>
          <c:y val="3.3992148675940042E-3"/>
          <c:w val="0.61607324746658321"/>
          <c:h val="0.90695809041568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FF99FF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9.4833362577588662E-2"/>
                  <c:y val="7.20786007943697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28,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 i="0" baseline="0">
                        <a:latin typeface="Times New Roman" panose="02020603050405020304" pitchFamily="18" charset="0"/>
                      </a:rPr>
                      <a:t>21,</a:t>
                    </a:r>
                    <a:r>
                      <a:rPr lang="ru-RU" b="1" i="0" baseline="0">
                        <a:latin typeface="Times New Roman" panose="02020603050405020304" pitchFamily="18" charset="0"/>
                      </a:rPr>
                      <a:t>3</a:t>
                    </a:r>
                    <a:r>
                      <a:rPr lang="en-US" b="1" i="0" baseline="0">
                        <a:latin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2558099111783215E-2"/>
                  <c:y val="2.00140911589591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delete val="1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Незаконченное высшее </c:v>
                </c:pt>
                <c:pt idx="2">
                  <c:v>Среднее профессиональное</c:v>
                </c:pt>
                <c:pt idx="3">
                  <c:v>Среднее общее</c:v>
                </c:pt>
                <c:pt idx="4">
                  <c:v>Нет образования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</c:v>
                </c:pt>
                <c:pt idx="1">
                  <c:v>83</c:v>
                </c:pt>
                <c:pt idx="2">
                  <c:v>204</c:v>
                </c:pt>
                <c:pt idx="3">
                  <c:v>153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64579270306443481"/>
          <c:y val="0.15042002493051201"/>
          <c:w val="0.35103405120717524"/>
          <c:h val="0.66612624749339966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189413823272E-3"/>
          <c:y val="6.5121333517520835E-2"/>
          <c:w val="0.62679352580927394"/>
          <c:h val="0.853831142854355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6"/>
              <c:delete val="1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6"/>
                <c:pt idx="0">
                  <c:v>Более 15 лет</c:v>
                </c:pt>
                <c:pt idx="1">
                  <c:v>Более 10 лет</c:v>
                </c:pt>
                <c:pt idx="2">
                  <c:v>Более 5 лет</c:v>
                </c:pt>
                <c:pt idx="3">
                  <c:v>Менее 5 лет</c:v>
                </c:pt>
                <c:pt idx="4">
                  <c:v>Постоянно меняю место работы</c:v>
                </c:pt>
                <c:pt idx="5">
                  <c:v>Не работаю в настоящий момент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79</c:v>
                </c:pt>
                <c:pt idx="1">
                  <c:v>91</c:v>
                </c:pt>
                <c:pt idx="2">
                  <c:v>96</c:v>
                </c:pt>
                <c:pt idx="3">
                  <c:v>133</c:v>
                </c:pt>
                <c:pt idx="4">
                  <c:v>41</c:v>
                </c:pt>
                <c:pt idx="5">
                  <c:v>274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64523731408573926"/>
          <c:y val="6.4235391628678041E-4"/>
          <c:w val="0.34087379702537179"/>
          <c:h val="0.98047566422618226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367745698454355E-2"/>
          <c:y val="4.8770964799612813E-2"/>
          <c:w val="0.88048410615339745"/>
          <c:h val="0.687207981980975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1820330969267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1.1820330969267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17E-2"/>
                  <c:y val="-5.91016548463356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703E-2"/>
                  <c:y val="-5.9101654846335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Да, вполне удовлетворен</c:v>
                </c:pt>
                <c:pt idx="1">
                  <c:v>Нет, не удовлетворен</c:v>
                </c:pt>
                <c:pt idx="2">
                  <c:v>Затрудняюсь ответить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0.32100000000000001</c:v>
                </c:pt>
                <c:pt idx="1">
                  <c:v>0.29699999999999999</c:v>
                </c:pt>
                <c:pt idx="2">
                  <c:v>0.28100000000000003</c:v>
                </c:pt>
                <c:pt idx="3">
                  <c:v>0.10100000000000001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4271360"/>
        <c:axId val="114421760"/>
        <c:axId val="0"/>
      </c:bar3DChart>
      <c:catAx>
        <c:axId val="114271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114421760"/>
        <c:crosses val="autoZero"/>
        <c:auto val="1"/>
        <c:lblAlgn val="ctr"/>
        <c:lblOffset val="100"/>
        <c:noMultiLvlLbl val="0"/>
      </c:catAx>
      <c:valAx>
        <c:axId val="11442176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1427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498572293847882"/>
          <c:y val="0"/>
          <c:w val="0.51609045664163777"/>
          <c:h val="0.969214437367303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4.0700040700040697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53857041755130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3500203500203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1400081400080648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Другое</c:v>
                </c:pt>
                <c:pt idx="1">
                  <c:v>Затрудняюсь ответить</c:v>
                </c:pt>
                <c:pt idx="2">
                  <c:v>При наличии услуг медицины, образования и др.</c:v>
                </c:pt>
                <c:pt idx="3">
                  <c:v>При возможности улучшения жилищных условий</c:v>
                </c:pt>
                <c:pt idx="4">
                  <c:v>При наличии транспортной и информационной доступности </c:v>
                </c:pt>
                <c:pt idx="5">
                  <c:v>Если будет выбор рабочих мест по моей специальности</c:v>
                </c:pt>
                <c:pt idx="6">
                  <c:v>Если будет возможность карьерного роста и самореализации</c:v>
                </c:pt>
                <c:pt idx="7">
                  <c:v>Если будет заработок, обеспечивающий высокий прожиточный минимум</c:v>
                </c:pt>
                <c:pt idx="8">
                  <c:v>Если будет заработок, обеспечивающий не только прожиточный минимум</c:v>
                </c:pt>
                <c:pt idx="9">
                  <c:v>Если будет заработок не ниже прожиточного минимума моей семьи</c:v>
                </c:pt>
                <c:pt idx="10">
                  <c:v>Если будет устраивать работа по профессии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1.7000000000000001E-2</c:v>
                </c:pt>
                <c:pt idx="1">
                  <c:v>0.151</c:v>
                </c:pt>
                <c:pt idx="2">
                  <c:v>0.156</c:v>
                </c:pt>
                <c:pt idx="3">
                  <c:v>0.23499999999999999</c:v>
                </c:pt>
                <c:pt idx="4">
                  <c:v>9.7000000000000003E-2</c:v>
                </c:pt>
                <c:pt idx="5">
                  <c:v>9.2999999999999999E-2</c:v>
                </c:pt>
                <c:pt idx="6">
                  <c:v>0.22800000000000001</c:v>
                </c:pt>
                <c:pt idx="7">
                  <c:v>0.39600000000000002</c:v>
                </c:pt>
                <c:pt idx="8">
                  <c:v>0.19400000000000001</c:v>
                </c:pt>
                <c:pt idx="9">
                  <c:v>6.9000000000000006E-2</c:v>
                </c:pt>
                <c:pt idx="10">
                  <c:v>0.22800000000000001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6279552"/>
        <c:axId val="158930048"/>
      </c:barChart>
      <c:catAx>
        <c:axId val="1162795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58930048"/>
        <c:crosses val="autoZero"/>
        <c:auto val="1"/>
        <c:lblAlgn val="ctr"/>
        <c:lblOffset val="100"/>
        <c:noMultiLvlLbl val="0"/>
      </c:catAx>
      <c:valAx>
        <c:axId val="158930048"/>
        <c:scaling>
          <c:orientation val="minMax"/>
          <c:max val="0.4"/>
        </c:scaling>
        <c:delete val="1"/>
        <c:axPos val="b"/>
        <c:numFmt formatCode="0.0%" sourceLinked="1"/>
        <c:majorTickMark val="out"/>
        <c:minorTickMark val="none"/>
        <c:tickLblPos val="nextTo"/>
        <c:crossAx val="116279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388815981335673E-2"/>
          <c:y val="4.369927462237249E-2"/>
          <c:w val="0.56171553391352391"/>
          <c:h val="0.844030846478638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dPt>
          <c:dLbls>
            <c:dLbl>
              <c:idx val="3"/>
              <c:layout>
                <c:manualLayout>
                  <c:x val="-6.7627829553294716E-2"/>
                  <c:y val="-0.2804413486775691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1317147856517935"/>
                  <c:y val="5.27940257467816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2236803732866727E-2"/>
                  <c:y val="7.59780027496562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Устроила бы работа вахтовым/сезонным методом</c:v>
                </c:pt>
                <c:pt idx="1">
                  <c:v>Не более года</c:v>
                </c:pt>
                <c:pt idx="2">
                  <c:v>До 5 лет</c:v>
                </c:pt>
                <c:pt idx="3">
                  <c:v>Готов переехать навсегда</c:v>
                </c:pt>
                <c:pt idx="4">
                  <c:v>Затрудняюсь ответить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0.121</c:v>
                </c:pt>
                <c:pt idx="1">
                  <c:v>9.9000000000000005E-2</c:v>
                </c:pt>
                <c:pt idx="2">
                  <c:v>0.09</c:v>
                </c:pt>
                <c:pt idx="3">
                  <c:v>0.30599999999999999</c:v>
                </c:pt>
                <c:pt idx="4">
                  <c:v>0.33500000000000002</c:v>
                </c:pt>
                <c:pt idx="5">
                  <c:v>2.9000000000000001E-2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315513192429906"/>
          <c:y val="6.4080618685206158E-5"/>
          <c:w val="0.36454603536400054"/>
          <c:h val="0.99986306059568641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57305336832898E-2"/>
          <c:y val="3.8690476190476192E-2"/>
          <c:w val="0.48088345727617382"/>
          <c:h val="0.8900670674520441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-9.20153297033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9444444444444441E-3"/>
                  <c:y val="-3.9683824868935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1.3888888888888888E-2"/>
                  <c:y val="3.0193847876984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9444444444444441E-3"/>
                  <c:y val="8.5689802913453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города Москва, Санкт-Петербург</c:v>
                </c:pt>
                <c:pt idx="1">
                  <c:v>Центральная часть Росии</c:v>
                </c:pt>
                <c:pt idx="2">
                  <c:v>Южная часть России</c:v>
                </c:pt>
                <c:pt idx="3">
                  <c:v>Дальний Восток</c:v>
                </c:pt>
                <c:pt idx="4">
                  <c:v>Другая страна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0.17499999999999999</c:v>
                </c:pt>
                <c:pt idx="1">
                  <c:v>0.13800000000000001</c:v>
                </c:pt>
                <c:pt idx="2">
                  <c:v>0.151</c:v>
                </c:pt>
                <c:pt idx="3">
                  <c:v>0.161</c:v>
                </c:pt>
                <c:pt idx="4">
                  <c:v>7.1999999999999995E-2</c:v>
                </c:pt>
                <c:pt idx="5">
                  <c:v>0.24299999999999999</c:v>
                </c:pt>
                <c:pt idx="6">
                  <c:v>4.7E-2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066090696996213"/>
          <c:y val="6.1188913885764279E-2"/>
          <c:w val="0.34850575969670455"/>
          <c:h val="0.83793963254593173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212133293464905E-2"/>
          <c:w val="0.97788500201045436"/>
          <c:h val="0.49520434945631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062567872622677E-2"/>
                  <c:y val="-8.438818565400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052113509936711E-2"/>
                  <c:y val="-1.2658227848101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062726176115876E-2"/>
                  <c:y val="-8.438818565400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051796902950461E-2"/>
                  <c:y val="-8.438818565400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062409569129552E-2"/>
                  <c:y val="-8.438818565400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4072547324829269E-2"/>
                  <c:y val="-8.438818565400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Затрудняюсь ответить</c:v>
                </c:pt>
                <c:pt idx="1">
                  <c:v>При низком уровне цен в регионе</c:v>
                </c:pt>
                <c:pt idx="2">
                  <c:v>При развитой инфраструктуре</c:v>
                </c:pt>
                <c:pt idx="3">
                  <c:v>При возможности карьерного роста</c:v>
                </c:pt>
                <c:pt idx="4">
                  <c:v>При стабильных социальных и государственных гарантиях</c:v>
                </c:pt>
                <c:pt idx="5">
                  <c:v>При высокой з/плате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0.129</c:v>
                </c:pt>
                <c:pt idx="1">
                  <c:v>0.26800000000000002</c:v>
                </c:pt>
                <c:pt idx="2">
                  <c:v>0.27400000000000002</c:v>
                </c:pt>
                <c:pt idx="3">
                  <c:v>0.20300000000000001</c:v>
                </c:pt>
                <c:pt idx="4">
                  <c:v>0.32600000000000001</c:v>
                </c:pt>
                <c:pt idx="5">
                  <c:v>0.59199999999999997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31"/>
        <c:shape val="box"/>
        <c:axId val="158962432"/>
        <c:axId val="158965120"/>
        <c:axId val="0"/>
      </c:bar3DChart>
      <c:catAx>
        <c:axId val="158962432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anose="02020603050405020304" pitchFamily="18" charset="0"/>
              </a:defRPr>
            </a:pPr>
            <a:endParaRPr lang="ru-RU"/>
          </a:p>
        </c:txPr>
        <c:crossAx val="158965120"/>
        <c:crosses val="autoZero"/>
        <c:auto val="1"/>
        <c:lblAlgn val="ctr"/>
        <c:lblOffset val="100"/>
        <c:noMultiLvlLbl val="0"/>
      </c:catAx>
      <c:valAx>
        <c:axId val="158965120"/>
        <c:scaling>
          <c:orientation val="minMax"/>
        </c:scaling>
        <c:delete val="1"/>
        <c:axPos val="r"/>
        <c:numFmt formatCode="0.0%" sourceLinked="1"/>
        <c:majorTickMark val="out"/>
        <c:minorTickMark val="none"/>
        <c:tickLblPos val="nextTo"/>
        <c:crossAx val="158962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D403-4363-4800-AA72-2FA7EB0C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7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Ширкина Алевтина Викторовна</dc:creator>
  <cp:lastModifiedBy>Яковлева Елена Леонидовна</cp:lastModifiedBy>
  <cp:revision>55</cp:revision>
  <dcterms:created xsi:type="dcterms:W3CDTF">2015-05-12T03:44:00Z</dcterms:created>
  <dcterms:modified xsi:type="dcterms:W3CDTF">2015-06-09T04:02:00Z</dcterms:modified>
</cp:coreProperties>
</file>