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585" w:type="dxa"/>
        <w:jc w:val="left"/>
        <w:tblInd w:w="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5"/>
      </w:tblGrid>
      <w:tr>
        <w:trPr/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  <w:lang w:val="ru-RU" w:eastAsia="ru-RU" w:bidi="ar-SA"/>
              </w:rPr>
              <w:t xml:space="preserve">О внесении изменений в государственную программу Камчатского края «Реализация государственной национальной политики и укрепление гражданского единства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  <w:lang w:val="ru-RU" w:eastAsia="ru-RU" w:bidi="ar-SA"/>
              </w:rPr>
              <w:t xml:space="preserve"> Камчатском крае», утвержденную постановлением Правительства Камчатского края от 06.02.2014 № 38-П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</w:t>
        <w:br/>
        <w:t xml:space="preserve">от 16.11.2023 № 568-П «Об утверждении Положения о системе управления государственными программами Камчатского края» и распоряжением Правительства Камчатского края от 31.07.2013 № 364-РП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06.02.2024 № 38-П, изменения согласно приложению к настоящему постановлению.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2"/>
        <w:gridCol w:w="2572"/>
      </w:tblGrid>
      <w:tr>
        <w:trPr>
          <w:trHeight w:val="1866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7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1"/>
        <w:gridCol w:w="480"/>
        <w:gridCol w:w="1874"/>
        <w:gridCol w:w="486"/>
        <w:gridCol w:w="1695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Приложение 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-11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>
      <w:pPr>
        <w:pStyle w:val="Normal"/>
        <w:widowControl/>
        <w:bidi w:val="0"/>
        <w:spacing w:lineRule="auto" w:line="240" w:before="0" w:after="0"/>
        <w:ind w:hanging="0" w:left="0" w:right="-11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государственную программу Камчатского края «Реализация государственной национальной политики Камчатского края», утвержденную постановлением Правительства Камчатского края от 06.02.2024 № 38-П</w:t>
      </w:r>
    </w:p>
    <w:p>
      <w:pPr>
        <w:pStyle w:val="Normal"/>
        <w:widowControl/>
        <w:bidi w:val="0"/>
        <w:spacing w:lineRule="auto" w:line="240" w:before="0" w:after="0"/>
        <w:ind w:hanging="0" w:left="0" w:right="-11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(далее – Программа)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разделе 1 «Стратегические приоритеты в сфере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крае»: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 «Оценка текущего состояния сферы реализации Программы»: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3 пункта 2 слова «и молодежи» исключить;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абзаце 8 пункта 6 в словах «данной задачи Министерством развития гражданского общества и молодежи Камчатского края» и «заключили соглашения с Министерством развития гражданского общества и молодежи Камчатского края</w:t>
      </w:r>
      <w:r>
        <w:rPr>
          <w:rFonts w:ascii="Times New Roman" w:hAnsi="Times New Roman"/>
          <w:sz w:val="28"/>
          <w:lang w:val="ru-RU"/>
        </w:rPr>
        <w:t>» слова «и молодежи» исключить.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2. В разделе 2 «Порядки предоставления субсидий и иных межбюджетных трансфертов из краевого бюджета местным бюджетам»: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13 дополнить пунктом 10 следующего содержания: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«10) региональный проект «Поддержка экономического и социального развития коренных малочисленных народов Севера, Сибири и Дальнего Востока Российской Федерации» в целях поддер</w:t>
      </w:r>
      <w:r>
        <w:rPr>
          <w:rFonts w:ascii="Times New Roman" w:hAnsi="Times New Roman"/>
          <w:sz w:val="28"/>
          <w:highlight w:val="white"/>
        </w:rPr>
        <w:t>жки творческих объединений мастеров, мастерских народных художественных промыслов и ремесел Камчатского края.</w:t>
      </w:r>
      <w:r>
        <w:rPr>
          <w:rFonts w:ascii="Times New Roman" w:hAnsi="Times New Roman"/>
          <w:sz w:val="28"/>
        </w:rPr>
        <w:t>»;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14 слова «в соответствии с приложениями 1–9» заменить словами «в соответствии с приложениями 1–10».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части 2 приложения 1 к государственной программе слова «и молодежи» исключить.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части 2 приложения 2 к государственной программе слова «и молодежи» исключить.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части 3 приложения 5 к государственной программе слова «и молодежи» исключить.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части 2 приложения 6 к государственной программе слова «и молодежи» исключить.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части 2 приложения 7 к государственной программе слова «и молодежи» исключить.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части 2 приложения 8 к государственной программе слова «Министерства развития гражданского общества и молодежи Камчатского края» заменить словами «Министерства по делам молодежи Камчатского края».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части 2 приложения 9 к государственной программе слова «и молодежи» исключить.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Дополнить приложением 10 к государственной программе следующего содержания:</w:t>
      </w:r>
    </w:p>
    <w:p>
      <w:pPr>
        <w:pStyle w:val="Normal"/>
        <w:spacing w:lineRule="auto" w:line="240" w:before="0" w:after="0"/>
        <w:ind w:hanging="0" w:left="5386" w:right="0"/>
        <w:rPr/>
      </w:pPr>
      <w:r>
        <w:rPr>
          <w:rFonts w:ascii="Times New Roman" w:hAnsi="Times New Roman"/>
          <w:sz w:val="28"/>
        </w:rPr>
        <w:t>«Приложение 10</w:t>
        <w:br/>
        <w:t xml:space="preserve">к </w:t>
      </w:r>
      <w:r>
        <w:fldChar w:fldCharType="begin"/>
      </w:r>
      <w:r>
        <w:rPr>
          <w:sz w:val="28"/>
          <w:rFonts w:ascii="Times New Roman" w:hAnsi="Times New Roman"/>
        </w:rPr>
        <w:instrText xml:space="preserve"> HYPERLINK "file:///C:/Users/bolotovaoo/AppData/Local/%D1%80%D0%B0%D0%B7%D1%80%D0%B0%D0%B1%D0%BE%D1%82%D0%BA%D0%B0%20%D0%BD%D0%BE%D0%B2.%20%D0%93%D0%9F%203%20%D0%BA%D0%B2.%202023/%D0%B8%D0%B7%D0%BC%20%D0%B2%20%D0%93%D0%9F%20%D1%81%202024/%D0%9F%D0%9F%20%20%D0%A0%D0%A4%20%D0%BE%D1%82%2030%20%D1%81%D0%B5%D0%BD%D1%82%D1%8F%D0%B1%D1%80%D1%8F%202021%20%D0%B3%20N%201661%20%D0%9E%D0%B1%20%D1%83%D1%82%D0%B2%D0%B5%D1%80%D0%B6%D0%B4%D0%B5%D0%BD%D0%B8%D0%B8%20%D0%B3%D0%BE%D1%81%D1%83%D0%B4%20(4).rtf" \l "sub_1000"</w:instrText>
      </w:r>
      <w:r>
        <w:rPr>
          <w:sz w:val="28"/>
          <w:rFonts w:ascii="Times New Roman" w:hAnsi="Times New Roman"/>
        </w:rPr>
        <w:fldChar w:fldCharType="separate"/>
      </w:r>
      <w:r>
        <w:rPr>
          <w:rFonts w:ascii="Times New Roman" w:hAnsi="Times New Roman"/>
          <w:sz w:val="28"/>
        </w:rPr>
        <w:t>государственной программе</w:t>
      </w:r>
      <w:r>
        <w:rPr>
          <w:sz w:val="28"/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</w:rPr>
        <w:br/>
        <w:t>Камчатского края «Реализация государственной национальной политики и укрепление гражданского единства в Камчатском крае»</w:t>
      </w:r>
    </w:p>
    <w:p>
      <w:pPr>
        <w:pStyle w:val="Normal"/>
        <w:spacing w:lineRule="auto" w:line="240" w:before="0" w:after="0"/>
        <w:ind w:hanging="0" w:left="0" w:right="-11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-11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>
      <w:pPr>
        <w:pStyle w:val="Normal"/>
        <w:spacing w:lineRule="auto" w:line="240" w:before="0" w:after="0"/>
        <w:ind w:hanging="0" w:left="0" w:right="-116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предоставления и распределения субсидий из краевого бюджета </w:t>
        <w:br/>
        <w:t xml:space="preserve">местным бюджетам в рамках реализации регионального проекта «Поддержка экономического и социального развития коренных малочисленных народов Севера, Сибири и Дальнего Востока Российской Федерации» </w:t>
      </w:r>
    </w:p>
    <w:p>
      <w:pPr>
        <w:pStyle w:val="Normal"/>
        <w:spacing w:lineRule="auto" w:line="240" w:before="0" w:after="0"/>
        <w:ind w:hanging="0" w:left="0" w:right="-11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со статьей 139 Бюджетного кодекса Российской Федерации, 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«Реализация государственной национальной политики», представленными в приложении № 6 (2) к государственной программе Российской Федерации «Реализация государственной национальной политики Камчатского края», утвержденной постановлением Правительства Камчатского края от 29.12.2016 № 1532,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</w:t>
      </w:r>
      <w:r>
        <w:rPr/>
        <w:t>–</w:t>
      </w:r>
      <w:r>
        <w:rPr>
          <w:rFonts w:ascii="Times New Roman" w:hAnsi="Times New Roman"/>
          <w:sz w:val="28"/>
        </w:rPr>
        <w:t xml:space="preserve"> Правила), и регулирует вопросы предоставления и распределения субсидий из краевого бюджета, в том числе за счет средств федерального бюджета, предоставляемых в целях реализации муниципальных программ, направленных на достижение целей, показателей и результатов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показателей и результатов регионального проекта «Поддержка экономического и социального развития коренных малочисленных народов Севера, Сибири и Дальнего Востока Российской Федерации» в целях поддер</w:t>
      </w:r>
      <w:r>
        <w:rPr>
          <w:rFonts w:ascii="Times New Roman" w:hAnsi="Times New Roman"/>
          <w:sz w:val="28"/>
          <w:highlight w:val="white"/>
        </w:rPr>
        <w:t>жки творческих объединений мастеров, мастерских народных художественных промыслов и ремесел Камчатского края (приобретение, заготовка и доставка сырья и материалов, оборудования и необходимой фурнитуры) (далее – субсидия, мероприятие).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/>
      </w:pPr>
      <w:r>
        <w:rPr>
          <w:rFonts w:ascii="Times New Roman" w:hAnsi="Times New Roman"/>
          <w:sz w:val="28"/>
          <w:highlight w:val="white"/>
        </w:rPr>
        <w:t xml:space="preserve">2.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развития гражданского общества Камчатского края (далее – Министерство) как получателя средств краевого бюджета на цели, указанные в части 1 настоящего Порядка. 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/>
      </w:pPr>
      <w:r>
        <w:rPr>
          <w:rFonts w:ascii="Times New Roman" w:hAnsi="Times New Roman"/>
          <w:color w:val="000000"/>
          <w:sz w:val="28"/>
          <w:highlight w:val="white"/>
        </w:rPr>
        <w:t>3. Критерием отбора муниципальных образований для предоставления субсидий является отнесение территории муниципального образования к месту традиционного проживания и традиционной хозяйственной деятельности коренных малочисленных народов согласно распоряжению Правительства Российской Федерации от 08.05.2009 № 631-р.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4. Условием предоставления субсидии из краевого бюджета местным бюджетам является заключение соглашения о предоставлении суб</w:t>
      </w:r>
      <w:r>
        <w:rPr>
          <w:rFonts w:ascii="Times New Roman" w:hAnsi="Times New Roman"/>
          <w:color w:val="000000"/>
          <w:sz w:val="28"/>
        </w:rPr>
        <w:t xml:space="preserve">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 xml:space="preserve">5.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u w:val="none"/>
        </w:rPr>
        <w:t>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соглашений, утвержденными Министерством финансов Камчатского края. Соглашение и 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color w:val="000000"/>
          <w:sz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u w:val="none"/>
        </w:rPr>
        <w:t>6. Соглашение о предоставлении субсидии из краевого бюджета местному бюджету за счет средств, поступивших в краевой бюджет в случае софинансирования из федерального бюджета расходного обязательства Камчатского края по предоставлению субсидии местному бюджету в целях оказания финансовой поддержки выполнения органами местного самоуправления муниципальных образований в Камчатском крае полномочий по решению вопросов местного значения, должно соответствовать требованиям, установленным правилами, предусмотренными абзацем первым пункта 3 статьи 132 Бюджетного кодекса Российской Федерации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 Уровень софинансирования объема расходного обязательства муниципального образования за счет средств краевого бюджета составляет 90 процентов от общего объема расходного обязательства муниципального образования.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8. Размер субсидий местным бюджетам определяется по следующей формуле: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center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color w:val="ED7D31"/>
          <w:sz w:val="28"/>
        </w:rPr>
      </w:r>
    </w:p>
    <w:p>
      <w:pPr>
        <w:pStyle w:val="Normal"/>
        <w:widowControl w:val="false"/>
        <w:spacing w:lineRule="auto" w:line="240" w:before="0" w:after="0"/>
        <w:ind w:hanging="0" w:left="0" w:right="0"/>
        <w:jc w:val="center"/>
        <w:rPr>
          <w:rFonts w:ascii="Times New Roman" w:hAnsi="Times New Roman"/>
          <w:color w:val="ED7D31"/>
          <w:sz w:val="28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Cj</m:t>
        </m:r>
        <m:r>
          <w:rPr>
            <w:rFonts w:ascii="Cambria Math" w:hAnsi="Cambria Math"/>
          </w:rPr>
          <m:t xml:space="preserve">=</m:t>
        </m:r>
        <m:f>
          <m:num>
            <m:sSub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o</m:t>
                </m:r>
              </m:sub>
              <m:sup>
                <m:r>
                  <w:rPr>
                    <w:rFonts w:ascii="Cambria Math" w:hAnsi="Cambria Math"/>
                  </w:rPr>
                  <m:t xml:space="preserve">i</m:t>
                </m:r>
              </m:sup>
            </m:sSubSup>
            <m:r>
              <w:rPr>
                <w:rFonts w:ascii="Cambria Math" w:hAnsi="Cambria Math"/>
              </w:rPr>
              <m:t xml:space="preserve">×</m:t>
            </m:r>
            <m:sSubSup>
              <m:e>
                <m:r>
                  <w:rPr>
                    <w:rFonts w:ascii="Cambria Math" w:hAnsi="Cambria Math"/>
                  </w:rPr>
                  <m:t xml:space="preserve">K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</m:sub>
              <m:sup>
                <m:r>
                  <w:rPr>
                    <w:rFonts w:ascii="Cambria Math" w:hAnsi="Cambria Math"/>
                  </w:rPr>
                  <m:t xml:space="preserve">i</m:t>
                </m:r>
              </m:sup>
            </m:sSubSup>
            <m:r>
              <w:rPr>
                <w:rFonts w:ascii="Cambria Math" w:hAnsi="Cambria Math"/>
              </w:rPr>
              <m:t xml:space="preserve">×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,90</m:t>
            </m:r>
          </m:num>
          <m:den>
            <m:sSubSup>
              <m:e>
                <m:r>
                  <w:rPr>
                    <w:rFonts w:ascii="Cambria Math" w:hAnsi="Cambria Math"/>
                  </w:rPr>
                  <m:t xml:space="preserve">∑</m:t>
                </m:r>
                <m:r>
                  <w:rPr>
                    <w:rFonts w:ascii="Cambria Math" w:hAnsi="Cambria Math"/>
                  </w:rPr>
                  <m:t xml:space="preserve">K</m:t>
                </m:r>
              </m:e>
              <m:sub>
                <m:r>
                  <w:rPr>
                    <w:rFonts w:ascii="Cambria Math" w:hAnsi="Cambria Math"/>
                  </w:rPr>
                  <m:t xml:space="preserve">j</m:t>
                </m:r>
                <m:r>
                  <w:rPr>
                    <w:rFonts w:ascii="Cambria Math" w:hAnsi="Cambria Math"/>
                  </w:rPr>
                  <m:t xml:space="preserve">…</m:t>
                </m:r>
                <m:r>
                  <w:rPr>
                    <w:rFonts w:ascii="Cambria Math" w:hAnsi="Cambria Math"/>
                  </w:rPr>
                  <m:t xml:space="preserve">n</m:t>
                </m:r>
              </m:sub>
              <m:sup>
                <m:r>
                  <w:rPr>
                    <w:rFonts w:ascii="Cambria Math" w:hAnsi="Cambria Math"/>
                  </w:rPr>
                  <m:t xml:space="preserve">i</m:t>
                </m:r>
              </m:sup>
            </m:sSubSup>
            <m:r>
              <w:rPr>
                <w:rFonts w:ascii="Cambria Math" w:hAnsi="Cambria Math"/>
              </w:rPr>
              <m:t xml:space="preserve">×</m:t>
            </m:r>
            <m:sSubSup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o</m:t>
                </m:r>
              </m:sub>
              <m:sup>
                <m:r>
                  <w:rPr>
                    <w:rFonts w:ascii="Cambria Math" w:hAnsi="Cambria Math"/>
                  </w:rPr>
                  <m:t xml:space="preserve">i</m:t>
                </m:r>
              </m:sup>
            </m:sSubSup>
            <m:r>
              <w:rPr>
                <w:rFonts w:ascii="Cambria Math" w:hAnsi="Cambria Math"/>
              </w:rPr>
              <m:t xml:space="preserve">×</m:t>
            </m:r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,90</m:t>
            </m:r>
          </m:den>
        </m:f>
      </m:oMath>
      <w:r>
        <w:rPr/>
        <w:t xml:space="preserve"> </w:t>
      </w:r>
      <w:r>
        <w:rPr/>
        <w:t xml:space="preserve">, </w:t>
      </w:r>
      <w:r>
        <w:rPr>
          <w:rFonts w:ascii="Times New Roman" w:hAnsi="Times New Roman"/>
        </w:rPr>
        <w:t>где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center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color w:val="ED7D31"/>
          <w:sz w:val="28"/>
        </w:rPr>
      </w:r>
    </w:p>
    <w:p>
      <w:pPr>
        <w:pStyle w:val="Normal"/>
        <w:spacing w:lineRule="auto" w:line="240" w:before="0" w:after="0"/>
        <w:ind w:firstLine="737" w:left="0" w:right="-113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u w:val="none"/>
        </w:rPr>
        <w:t xml:space="preserve">Сj – размер субсидии, предоставляемой бюджету j-го муниципального образования на реализацию мероприятий, указанных в части 1 настоящего Порядка, в текущем финансовом году; </w:t>
      </w:r>
    </w:p>
    <w:p>
      <w:pPr>
        <w:pStyle w:val="Normal"/>
        <w:spacing w:lineRule="auto" w:line="240" w:before="0" w:after="0"/>
        <w:ind w:firstLine="737" w:left="0" w:right="-113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u w:val="none"/>
        </w:rPr>
        <w:t xml:space="preserve">Со – общий объем средств, предусмотренный на реализацию i-того мероприятия, подлежащий распределению между муниципальными образованиями в текущем финансовом году; </w:t>
      </w:r>
    </w:p>
    <w:p>
      <w:pPr>
        <w:pStyle w:val="Normal"/>
        <w:spacing w:lineRule="auto" w:line="240" w:before="0" w:after="0"/>
        <w:ind w:firstLine="737" w:left="0" w:right="-113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u w:val="none"/>
        </w:rPr>
        <w:t>Кj – потребность j-го муниципального образования на реализацию i-того мероприятия в текущем финансовом году, определяемая на основании оценки затрат по расчетам, данным Министерством;</w:t>
      </w:r>
    </w:p>
    <w:p>
      <w:pPr>
        <w:pStyle w:val="Normal"/>
        <w:spacing w:lineRule="auto" w:line="240" w:before="0" w:after="0"/>
        <w:ind w:firstLine="737" w:left="0" w:right="-113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color w:val="000000"/>
          <w:sz w:val="28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u w:val="none"/>
        </w:rPr>
        <w:t>n – количество муниципальных образований, представивших в Министерство документы, и соответствующих критерию отбора муниципальных образований для предоставления субсидий, установленному частью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u w:val="none"/>
        </w:rPr>
        <w:t xml:space="preserve"> 3 настоящего Порядка, и условию предоставления субсидий, установленному частью 4 настоящего Порядка.</w:t>
      </w:r>
    </w:p>
    <w:p>
      <w:pPr>
        <w:pStyle w:val="Normal"/>
        <w:spacing w:lineRule="auto" w:line="240" w:before="0" w:after="0"/>
        <w:ind w:firstLine="737" w:left="0" w:right="-113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u w:val="none"/>
        </w:rPr>
        <w:t>0,99 – уровень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u w:val="none"/>
        </w:rPr>
        <w:t xml:space="preserve"> софинансирования расходного обязательства муниципального образования в Камчатском крае за счет средств краевого бюджета, установленный частью 7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FF0000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u w:val="none"/>
        </w:rPr>
        <w:t xml:space="preserve">настоящего Порядка. 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u w:val="none"/>
        </w:rPr>
        <w:t>9.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плановый период.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u w:val="none"/>
        </w:rPr>
        <w:t>10.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 в случаях, когда источником финансового обеспечения субсидий являются бюджетные ассигнования, увеличенные или уменьшенные в результате внесения изменений в сводную бюджетную роспись краевого бюджета по основаниям, установленным пунктом 3 статьи 217 Бюджетного кодекса Российской Федерации, частью 5 статьи 5 Закона Камчатского края от 24.10.2007 № 650 «О бюджетном процессе в Камчатском крае».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u w:val="none"/>
        </w:rPr>
        <w:t>В случаях и порядке, предусмотренных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u w:val="none"/>
        </w:rPr>
        <w:t xml:space="preserve"> Законом К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u w:val="none"/>
        </w:rPr>
        <w:t>амчатского края от 11.09.2008 № 110 «О предоставлении отдельных межбюджетных трансфертов в Камчатском крае», распоряжениями Правительства Камчатского края без внесения изменений в закон Камчатского края о краевом бюджете могут быть внесены изменения в распределение объемов субсидий между муниципальными образованиями.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b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11. Перечень, формы, срок, порядок представления документов органами местного самоуправления муниципальных образований в Камчатском крае для заключения соглашения о предоставлении субсидии и порядок их рассмотрения утверждаются Министерством в целях реализации соответствующих мероприятий.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b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 xml:space="preserve">12.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 о предоставлении субсидии. 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b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13. Результатом использования субсидии является количество участников мероприятий, направленных на этнокультурное развитие коренных малочи</w:t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highlight w:val="white"/>
          <w:u w:val="none"/>
        </w:rPr>
        <w:t>сленных народов Российской Федерации, в соответствии с частью 1 настоящего Порядка.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highlight w:val="white"/>
          <w:u w:val="none"/>
        </w:rPr>
        <w:t>14. Значение результата использования субсидии устанавливается в соглашении о предоставлении субсидии.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highlight w:val="white"/>
          <w:u w:val="none"/>
        </w:rPr>
        <w:t>15. Основаниями для отказа в предоставлении субсидии являются несоответствие муниципального образования критерию отбора муниципальных образований для предоставления субсидий и условию предоставления субсидии, установленным частями 4 и 5 настоящего Порядка.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highlight w:val="white"/>
          <w:u w:val="none"/>
        </w:rPr>
        <w:t>16. Сроки и порядок представления отчетности об осуществлении расходов местного бюджета на реализацию расходного обязат</w:t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ельства муниципального образования в Камчатском крае, в целях софинансирования которого предоставляется субсидия, отчетности о достижении значений результатов использования субсидии, устанавливаются соглашением о предоставлении субсидии.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17. При невыполнении условий соглашения о предоставлении субсидии к муниципальному образованию в Камчатском крае применяются меры финансовой ответственности по основаниям и в порядке, установленными Правилами.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18. Контроль за соблюдением муниципальными образованиями в Камчатском крае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и органами государственного финансового контроля.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19. Неиспользованные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статьей 242 Бюджетного кодекса Российской Федерации.</w:t>
      </w:r>
    </w:p>
    <w:p>
      <w:pPr>
        <w:pStyle w:val="Normal"/>
        <w:widowControl/>
        <w:spacing w:lineRule="auto" w:line="240" w:before="0" w:after="0"/>
        <w:ind w:firstLine="737" w:left="0" w:right="-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20. В случае, если неиспользованная субсидия не перечислена в доход краевого бюджета в срок, установленный пунктом 5 статьи 242 Бюджетного кодекса Российской Федерации, указанные средства подлежат взысканию в доход краевого бюджета в соответствии с бюджетным законодательством Российской Федерации.».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473" w:top="1209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LibreOffice/24.2.0.3$Windows_X86_64 LibreOffice_project/da48488a73ddd66ea24cf16bbc4f7b9c08e9bea1</Application>
  <AppVersion>15.0000</AppVersion>
  <Pages>6</Pages>
  <Words>1548</Words>
  <Characters>11536</Characters>
  <CharactersWithSpaces>13032</CharactersWithSpaces>
  <Paragraphs>71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2024-04-08T14:43:57Z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