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94" y="0"/>
                <wp:lineTo x="-294" y="20655"/>
                <wp:lineTo x="20674" y="20655"/>
                <wp:lineTo x="20674" y="0"/>
                <wp:lineTo x="-29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4"/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NSimSun" w:cs="Lucida Sans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О внесении изменений в приложение к постановлению </w:t>
              <w:br/>
              <w:t>Правительства Камчатского края 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проживающих в Камчатском крае»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06.12.2017 № 521-П </w:t>
      </w:r>
      <w:r>
        <w:rPr>
          <w:rFonts w:ascii="Times New Roman" w:hAnsi="Times New Roman"/>
          <w:b w:val="false"/>
          <w:bCs w:val="false"/>
          <w:sz w:val="28"/>
        </w:rPr>
        <w:t>«</w:t>
      </w:r>
      <w:r>
        <w:rPr>
          <w:rFonts w:eastAsia="NSimSun" w:cs="Lucida Sans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zh-CN" w:bidi="hi-IN"/>
        </w:rPr>
        <w:t>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проживающих в Камчатском крае</w:t>
      </w:r>
      <w:r>
        <w:rPr>
          <w:rFonts w:ascii="Times New Roman" w:hAnsi="Times New Roman"/>
          <w:sz w:val="28"/>
        </w:rPr>
        <w:t>» следующие изменения: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часть 8 дополнить пунктом 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«3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свидетельство о заключении брака (расторжении брака) либо иной документ, подтверждающий смену фамилии (в случае смены фамилии);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8: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</w:t>
      </w:r>
      <w:r>
        <w:rPr>
          <w:rFonts w:ascii="Times New Roman" w:hAnsi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/>
          <w:sz w:val="28"/>
          <w:szCs w:val="28"/>
          <w:lang w:val="ru-RU"/>
        </w:rPr>
        <w:t>после слов «настоящего Порядка» дополнить словами «, по форме, утвержденной приказом Министерства»;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7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справку о составе семьи (к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членам семьи относятся совместно проживающие родители, несовершеннолетние дети, в том числе усыновленные, а также дети, по отношению к которым родитель является опекуном и (или) попечителем);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пункт 1 части 12 после слова «проезда» дополнить словами </w:t>
      </w:r>
      <w:r>
        <w:rPr>
          <w:rFonts w:ascii="Times New Roman" w:hAnsi="Times New Roman"/>
          <w:sz w:val="28"/>
          <w:szCs w:val="28"/>
          <w:lang w:val="ru-RU"/>
        </w:rPr>
        <w:t>«, по форме, утвержденной приказом Министерства»;».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33"/>
        <w:gridCol w:w="2581"/>
      </w:tblGrid>
      <w:tr>
        <w:trPr>
          <w:trHeight w:val="1302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sz w:val="12"/>
          <w:szCs w:val="12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426" w:top="1125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NSimSun" w:cs="Lucida Sans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NSimSun" w:cs="Lucida Sans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NSimSun" w:cs="Lucida Sans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NSimSun" w:cs="Lucida Sans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Style9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1" w:customStyle="1">
    <w:name w:val="Гиперссылка1"/>
    <w:basedOn w:val="13"/>
    <w:link w:val="18"/>
    <w:qFormat/>
    <w:rPr>
      <w:color w:val="0563C1" w:themeColor="hyperlink"/>
      <w:u w:val="single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2" w:customStyle="1">
    <w:name w:val="Верхний колонтитул1"/>
    <w:qFormat/>
    <w:rPr/>
  </w:style>
  <w:style w:type="character" w:styleId="51" w:customStyle="1">
    <w:name w:val="Заголовок 51"/>
    <w:qFormat/>
    <w:rPr>
      <w:rFonts w:ascii="XO Thames" w:hAnsi="XO Thames"/>
      <w:b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13" w:customStyle="1">
    <w:name w:val="Основной шрифт абзаца1"/>
    <w:link w:val="19"/>
    <w:qFormat/>
    <w:rPr/>
  </w:style>
  <w:style w:type="character" w:styleId="Style10" w:customStyle="1">
    <w:name w:val="Текст Знак"/>
    <w:link w:val="PlainText"/>
    <w:qFormat/>
    <w:rPr>
      <w:rFonts w:ascii="Calibri" w:hAnsi="Calibri"/>
    </w:rPr>
  </w:style>
  <w:style w:type="character" w:styleId="-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14" w:customStyle="1">
    <w:name w:val="Обычный1"/>
    <w:link w:val="112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5" w:customStyle="1">
    <w:name w:val="Подзаголовок1"/>
    <w:qFormat/>
    <w:rPr>
      <w:rFonts w:ascii="XO Thames" w:hAnsi="XO Thames"/>
      <w:i/>
      <w:sz w:val="24"/>
    </w:rPr>
  </w:style>
  <w:style w:type="character" w:styleId="16" w:customStyle="1">
    <w:name w:val="Нижний колонтитул1"/>
    <w:qFormat/>
    <w:rPr>
      <w:rFonts w:ascii="Times New Roman" w:hAnsi="Times New Roman"/>
      <w:sz w:val="28"/>
    </w:rPr>
  </w:style>
  <w:style w:type="character" w:styleId="17" w:customStyle="1">
    <w:name w:val="Заголовок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" w:customStyle="1">
    <w:name w:val="Заголовок 21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Title"/>
    <w:next w:val="Style12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NSimSun" w:cs="Lucida Sans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18" w:customStyle="1">
    <w:name w:val="Гиперссылка1"/>
    <w:basedOn w:val="19"/>
    <w:link w:val="11"/>
    <w:qFormat/>
    <w:pPr/>
    <w:rPr>
      <w:color w:val="0563C1" w:themeColor="hyperlink"/>
      <w:u w:val="single"/>
    </w:rPr>
  </w:style>
  <w:style w:type="paragraph" w:styleId="23" w:customStyle="1">
    <w:name w:val="Основной шрифт абзац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NSimSun" w:cs="Lucida Sans"/>
      <w:color w:val="000000"/>
      <w:kern w:val="0"/>
      <w:sz w:val="20"/>
      <w:szCs w:val="20"/>
      <w:lang w:val="ru-RU" w:eastAsia="zh-CN" w:bidi="hi-IN"/>
    </w:rPr>
  </w:style>
  <w:style w:type="paragraph" w:styleId="Style18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9" w:customStyle="1">
    <w:name w:val="Основной шрифт абзаца1"/>
    <w:link w:val="1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110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112" w:customStyle="1">
    <w:name w:val="Обычный1"/>
    <w:link w:val="1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NSimSun" w:cs="Lucida Sans"/>
      <w:i/>
      <w:color w:val="000000"/>
      <w:kern w:val="0"/>
      <w:sz w:val="24"/>
      <w:szCs w:val="20"/>
      <w:lang w:val="ru-RU" w:eastAsia="zh-CN" w:bidi="hi-IN"/>
    </w:rPr>
  </w:style>
  <w:style w:type="paragraph" w:styleId="Style20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">
    <w:name w:val="Сетка таблицы4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LibreOffice/7.5.3.2$Windows_X86_64 LibreOffice_project/9f56dff12ba03b9acd7730a5a481eea045e468f3</Application>
  <AppVersion>15.0000</AppVersion>
  <Pages>2</Pages>
  <Words>272</Words>
  <Characters>1834</Characters>
  <CharactersWithSpaces>2087</CharactersWithSpaces>
  <Paragraphs>20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2023-09-28T21:26:00Z</dcterms:created>
  <dc:creator>Кулакова Анастасия Борисовна</dc:creator>
  <dc:description/>
  <dc:language>ru-RU</dc:language>
  <cp:lastModifiedBy/>
  <cp:lastPrinted>2023-10-12T09:41:25Z</cp:lastPrinted>
  <dcterms:modified xsi:type="dcterms:W3CDTF">2023-10-31T15:11:59Z</dcterms:modified>
  <cp:revision>40</cp:revision>
  <dc:subject/>
  <dc:title>Постановление Правительства Камчатского края от 10.02.2023 N 71-П"Об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